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E00" w:rsidRPr="002C15A3" w:rsidRDefault="001F2E00" w:rsidP="001F2E00">
      <w:pPr>
        <w:jc w:val="center"/>
        <w:rPr>
          <w:rFonts w:cs="Times New Roman"/>
          <w:b/>
          <w:szCs w:val="24"/>
        </w:rPr>
      </w:pPr>
      <w:r w:rsidRPr="002C15A3">
        <w:rPr>
          <w:rFonts w:cs="Times New Roman"/>
          <w:b/>
          <w:szCs w:val="24"/>
        </w:rPr>
        <w:t xml:space="preserve">Informacija apie Komisijos 2015 m. </w:t>
      </w:r>
      <w:r>
        <w:rPr>
          <w:rFonts w:cs="Times New Roman"/>
          <w:b/>
          <w:szCs w:val="24"/>
        </w:rPr>
        <w:t>gruodžio 16</w:t>
      </w:r>
      <w:r w:rsidRPr="002C15A3">
        <w:rPr>
          <w:rFonts w:cs="Times New Roman"/>
          <w:b/>
          <w:szCs w:val="24"/>
        </w:rPr>
        <w:t xml:space="preserve"> d. posėdyje nagrinėtus klausimus ir priimtus sprendimus</w:t>
      </w:r>
    </w:p>
    <w:p w:rsidR="001F2E00" w:rsidRPr="002C15A3" w:rsidRDefault="001F2E00" w:rsidP="001F2E00">
      <w:pPr>
        <w:jc w:val="center"/>
        <w:rPr>
          <w:rFonts w:cs="Times New Roman"/>
          <w:b/>
          <w:szCs w:val="24"/>
        </w:rPr>
      </w:pPr>
    </w:p>
    <w:p w:rsidR="001F2E00" w:rsidRPr="002C15A3" w:rsidRDefault="001F2E00" w:rsidP="0048676A">
      <w:pPr>
        <w:rPr>
          <w:rFonts w:cs="Times New Roman"/>
          <w:szCs w:val="24"/>
        </w:rPr>
      </w:pPr>
      <w:r w:rsidRPr="002C15A3">
        <w:rPr>
          <w:rFonts w:cs="Times New Roman"/>
          <w:szCs w:val="24"/>
        </w:rPr>
        <w:t xml:space="preserve">Komisijos 2015 m. </w:t>
      </w:r>
      <w:r>
        <w:rPr>
          <w:rFonts w:cs="Times New Roman"/>
          <w:szCs w:val="24"/>
        </w:rPr>
        <w:t>gruodžio 16</w:t>
      </w:r>
      <w:r w:rsidRPr="002C15A3">
        <w:rPr>
          <w:rFonts w:cs="Times New Roman"/>
          <w:szCs w:val="24"/>
        </w:rPr>
        <w:t xml:space="preserve"> d. posėdyje buvo nagrinėjami šie klausimai:</w:t>
      </w:r>
    </w:p>
    <w:p w:rsidR="001F2E00" w:rsidRDefault="001F2E00" w:rsidP="0048676A">
      <w:pPr>
        <w:rPr>
          <w:szCs w:val="24"/>
        </w:rPr>
      </w:pPr>
      <w:r w:rsidRPr="002C15A3">
        <w:rPr>
          <w:rFonts w:cs="Times New Roman"/>
          <w:szCs w:val="24"/>
        </w:rPr>
        <w:t xml:space="preserve">1. </w:t>
      </w:r>
      <w:r w:rsidR="002760A3" w:rsidRPr="00BD334F">
        <w:rPr>
          <w:szCs w:val="24"/>
        </w:rPr>
        <w:t xml:space="preserve">Algirdo Mykolo Uždavinio, Algimanto Medelio, Algimanto </w:t>
      </w:r>
      <w:proofErr w:type="spellStart"/>
      <w:r w:rsidR="002760A3" w:rsidRPr="00BD334F">
        <w:rPr>
          <w:szCs w:val="24"/>
        </w:rPr>
        <w:t>Šeduikio</w:t>
      </w:r>
      <w:proofErr w:type="spellEnd"/>
      <w:r w:rsidR="002760A3" w:rsidRPr="00BD334F">
        <w:rPr>
          <w:szCs w:val="24"/>
        </w:rPr>
        <w:t xml:space="preserve">, Petro Šatkaus, </w:t>
      </w:r>
      <w:proofErr w:type="spellStart"/>
      <w:r w:rsidR="002760A3" w:rsidRPr="00BD334F">
        <w:rPr>
          <w:szCs w:val="24"/>
        </w:rPr>
        <w:t>Gagik</w:t>
      </w:r>
      <w:r w:rsidR="002760A3">
        <w:rPr>
          <w:szCs w:val="24"/>
        </w:rPr>
        <w:t>o</w:t>
      </w:r>
      <w:proofErr w:type="spellEnd"/>
      <w:r w:rsidR="002760A3" w:rsidRPr="00BD334F">
        <w:rPr>
          <w:szCs w:val="24"/>
        </w:rPr>
        <w:t xml:space="preserve"> </w:t>
      </w:r>
      <w:proofErr w:type="spellStart"/>
      <w:r w:rsidR="002760A3" w:rsidRPr="00BD334F">
        <w:rPr>
          <w:szCs w:val="24"/>
        </w:rPr>
        <w:t>Grigorian</w:t>
      </w:r>
      <w:r w:rsidR="002760A3">
        <w:rPr>
          <w:szCs w:val="24"/>
        </w:rPr>
        <w:t>o</w:t>
      </w:r>
      <w:proofErr w:type="spellEnd"/>
      <w:r w:rsidR="002760A3" w:rsidRPr="00BD334F">
        <w:rPr>
          <w:szCs w:val="24"/>
        </w:rPr>
        <w:t xml:space="preserve">, Viktoro </w:t>
      </w:r>
      <w:proofErr w:type="spellStart"/>
      <w:r w:rsidR="002760A3" w:rsidRPr="00BD334F">
        <w:rPr>
          <w:szCs w:val="24"/>
        </w:rPr>
        <w:t>Kavaliuko</w:t>
      </w:r>
      <w:proofErr w:type="spellEnd"/>
      <w:r w:rsidR="002760A3" w:rsidRPr="00BD334F">
        <w:rPr>
          <w:szCs w:val="24"/>
        </w:rPr>
        <w:t xml:space="preserve">, Bernardo </w:t>
      </w:r>
      <w:proofErr w:type="spellStart"/>
      <w:r w:rsidR="002760A3" w:rsidRPr="00BD334F">
        <w:rPr>
          <w:szCs w:val="24"/>
        </w:rPr>
        <w:t>Smirinenko</w:t>
      </w:r>
      <w:r w:rsidR="002760A3">
        <w:rPr>
          <w:szCs w:val="24"/>
        </w:rPr>
        <w:t>s</w:t>
      </w:r>
      <w:proofErr w:type="spellEnd"/>
      <w:r w:rsidR="002760A3" w:rsidRPr="00BD334F">
        <w:rPr>
          <w:szCs w:val="24"/>
        </w:rPr>
        <w:t xml:space="preserve">, </w:t>
      </w:r>
      <w:r w:rsidR="002760A3">
        <w:rPr>
          <w:szCs w:val="24"/>
        </w:rPr>
        <w:t xml:space="preserve">Anatolijaus </w:t>
      </w:r>
      <w:proofErr w:type="spellStart"/>
      <w:r w:rsidR="002760A3">
        <w:rPr>
          <w:szCs w:val="24"/>
        </w:rPr>
        <w:t>Kolosovskio</w:t>
      </w:r>
      <w:proofErr w:type="spellEnd"/>
      <w:r w:rsidR="002760A3">
        <w:rPr>
          <w:szCs w:val="24"/>
        </w:rPr>
        <w:t xml:space="preserve">, </w:t>
      </w:r>
      <w:r w:rsidR="002760A3" w:rsidRPr="00BD334F">
        <w:rPr>
          <w:szCs w:val="24"/>
        </w:rPr>
        <w:t xml:space="preserve">Rimanto Jurkevičiaus, Vytauto Pacevičiaus, Vitalijaus </w:t>
      </w:r>
      <w:proofErr w:type="spellStart"/>
      <w:r w:rsidR="002760A3" w:rsidRPr="00BD334F">
        <w:rPr>
          <w:szCs w:val="24"/>
        </w:rPr>
        <w:t>Zelionkos</w:t>
      </w:r>
      <w:proofErr w:type="spellEnd"/>
      <w:r w:rsidR="002760A3">
        <w:rPr>
          <w:szCs w:val="24"/>
        </w:rPr>
        <w:t xml:space="preserve">, Vytauto Ruzgio, Ričardo </w:t>
      </w:r>
      <w:proofErr w:type="spellStart"/>
      <w:r w:rsidR="002760A3">
        <w:rPr>
          <w:szCs w:val="24"/>
        </w:rPr>
        <w:t>Ramšos</w:t>
      </w:r>
      <w:proofErr w:type="spellEnd"/>
      <w:r w:rsidR="002760A3" w:rsidRPr="00BD334F">
        <w:rPr>
          <w:szCs w:val="24"/>
        </w:rPr>
        <w:t xml:space="preserve"> </w:t>
      </w:r>
      <w:r w:rsidR="002760A3">
        <w:rPr>
          <w:szCs w:val="24"/>
        </w:rPr>
        <w:t>ir kitų pareiškėjų peticijos</w:t>
      </w:r>
      <w:r w:rsidR="002760A3" w:rsidRPr="00BD334F">
        <w:rPr>
          <w:szCs w:val="24"/>
        </w:rPr>
        <w:t xml:space="preserve"> „Dėl nusavintų pareigūnų ir karių pensijų grąžinimo“ </w:t>
      </w:r>
      <w:r w:rsidR="002760A3">
        <w:rPr>
          <w:szCs w:val="24"/>
        </w:rPr>
        <w:t>nagrinėjimas iš esmės.</w:t>
      </w:r>
    </w:p>
    <w:p w:rsidR="001F2E00" w:rsidRDefault="001F2E00" w:rsidP="0048676A">
      <w:pPr>
        <w:rPr>
          <w:szCs w:val="24"/>
        </w:rPr>
      </w:pPr>
      <w:r>
        <w:rPr>
          <w:rFonts w:cs="Times New Roman"/>
          <w:szCs w:val="24"/>
        </w:rPr>
        <w:t xml:space="preserve">2. </w:t>
      </w:r>
      <w:r w:rsidR="006806E1">
        <w:rPr>
          <w:szCs w:val="24"/>
        </w:rPr>
        <w:t xml:space="preserve">Antano Algimanto Miškinio peticijos </w:t>
      </w:r>
      <w:r w:rsidR="006806E1" w:rsidRPr="00883149">
        <w:rPr>
          <w:szCs w:val="24"/>
        </w:rPr>
        <w:t xml:space="preserve">„Dėl </w:t>
      </w:r>
      <w:r w:rsidR="006806E1">
        <w:rPr>
          <w:szCs w:val="24"/>
        </w:rPr>
        <w:t>Lietuvos Respublikos geriamojo vandens teikimo ir nuotekų tvarkymo įstatymo“ nagrinėjimas iš esmės.</w:t>
      </w:r>
      <w:r w:rsidR="002760A3">
        <w:rPr>
          <w:szCs w:val="24"/>
        </w:rPr>
        <w:t xml:space="preserve"> </w:t>
      </w:r>
    </w:p>
    <w:p w:rsidR="006806E1" w:rsidRDefault="001F2E00" w:rsidP="0048676A">
      <w:pPr>
        <w:rPr>
          <w:szCs w:val="24"/>
        </w:rPr>
      </w:pPr>
      <w:r w:rsidRPr="002C15A3">
        <w:rPr>
          <w:rFonts w:cs="Times New Roman"/>
          <w:szCs w:val="24"/>
        </w:rPr>
        <w:t xml:space="preserve">3. </w:t>
      </w:r>
      <w:r w:rsidR="006806E1">
        <w:rPr>
          <w:szCs w:val="24"/>
        </w:rPr>
        <w:t xml:space="preserve">Antano Algimanto Miškinio peticijos </w:t>
      </w:r>
      <w:r w:rsidR="006806E1" w:rsidRPr="000531F7">
        <w:rPr>
          <w:szCs w:val="24"/>
        </w:rPr>
        <w:t>„Dėl karšto vandens nuostatų Šilumos ūkio įstatyme“</w:t>
      </w:r>
      <w:r w:rsidR="006806E1">
        <w:rPr>
          <w:szCs w:val="24"/>
        </w:rPr>
        <w:t xml:space="preserve"> nagrinėjimas iš esmės.</w:t>
      </w:r>
    </w:p>
    <w:p w:rsidR="00327081" w:rsidRDefault="006806E1" w:rsidP="0048676A">
      <w:pPr>
        <w:autoSpaceDE w:val="0"/>
        <w:autoSpaceDN w:val="0"/>
        <w:adjustRightInd w:val="0"/>
        <w:rPr>
          <w:rFonts w:eastAsia="Batang"/>
          <w:szCs w:val="24"/>
        </w:rPr>
      </w:pPr>
      <w:r>
        <w:rPr>
          <w:szCs w:val="24"/>
        </w:rPr>
        <w:t xml:space="preserve">1. </w:t>
      </w:r>
      <w:r w:rsidR="00327081">
        <w:rPr>
          <w:szCs w:val="24"/>
        </w:rPr>
        <w:t>Komisija iš esmės išnagrinėjusi</w:t>
      </w:r>
      <w:r w:rsidR="00327081" w:rsidRPr="00BD334F">
        <w:rPr>
          <w:szCs w:val="24"/>
        </w:rPr>
        <w:t xml:space="preserve"> Algirdo Mykolo Uždavinio, Algimanto Medelio, Algimanto </w:t>
      </w:r>
      <w:proofErr w:type="spellStart"/>
      <w:r w:rsidR="00327081" w:rsidRPr="00BD334F">
        <w:rPr>
          <w:szCs w:val="24"/>
        </w:rPr>
        <w:t>Šeduikio</w:t>
      </w:r>
      <w:proofErr w:type="spellEnd"/>
      <w:r w:rsidR="00327081" w:rsidRPr="00BD334F">
        <w:rPr>
          <w:szCs w:val="24"/>
        </w:rPr>
        <w:t xml:space="preserve">, Petro Šatkaus, </w:t>
      </w:r>
      <w:proofErr w:type="spellStart"/>
      <w:r w:rsidR="00327081" w:rsidRPr="00BD334F">
        <w:rPr>
          <w:szCs w:val="24"/>
        </w:rPr>
        <w:t>Gagik</w:t>
      </w:r>
      <w:r w:rsidR="00327081">
        <w:rPr>
          <w:szCs w:val="24"/>
        </w:rPr>
        <w:t>o</w:t>
      </w:r>
      <w:proofErr w:type="spellEnd"/>
      <w:r w:rsidR="00327081" w:rsidRPr="00BD334F">
        <w:rPr>
          <w:szCs w:val="24"/>
        </w:rPr>
        <w:t xml:space="preserve"> </w:t>
      </w:r>
      <w:proofErr w:type="spellStart"/>
      <w:r w:rsidR="00327081" w:rsidRPr="00BD334F">
        <w:rPr>
          <w:szCs w:val="24"/>
        </w:rPr>
        <w:t>Grigorian</w:t>
      </w:r>
      <w:r w:rsidR="00327081">
        <w:rPr>
          <w:szCs w:val="24"/>
        </w:rPr>
        <w:t>o</w:t>
      </w:r>
      <w:proofErr w:type="spellEnd"/>
      <w:r w:rsidR="00327081" w:rsidRPr="00BD334F">
        <w:rPr>
          <w:szCs w:val="24"/>
        </w:rPr>
        <w:t xml:space="preserve">, Viktoro </w:t>
      </w:r>
      <w:proofErr w:type="spellStart"/>
      <w:r w:rsidR="00327081" w:rsidRPr="00BD334F">
        <w:rPr>
          <w:szCs w:val="24"/>
        </w:rPr>
        <w:t>Kavaliuko</w:t>
      </w:r>
      <w:proofErr w:type="spellEnd"/>
      <w:r w:rsidR="00327081" w:rsidRPr="00BD334F">
        <w:rPr>
          <w:szCs w:val="24"/>
        </w:rPr>
        <w:t xml:space="preserve">, Bernardo </w:t>
      </w:r>
      <w:proofErr w:type="spellStart"/>
      <w:r w:rsidR="00327081" w:rsidRPr="00BD334F">
        <w:rPr>
          <w:szCs w:val="24"/>
        </w:rPr>
        <w:t>Smirinenko</w:t>
      </w:r>
      <w:r w:rsidR="00327081">
        <w:rPr>
          <w:szCs w:val="24"/>
        </w:rPr>
        <w:t>s</w:t>
      </w:r>
      <w:proofErr w:type="spellEnd"/>
      <w:r w:rsidR="00327081" w:rsidRPr="00BD334F">
        <w:rPr>
          <w:szCs w:val="24"/>
        </w:rPr>
        <w:t xml:space="preserve">, Rimanto Jurkevičiaus, </w:t>
      </w:r>
      <w:r w:rsidR="00327081">
        <w:rPr>
          <w:szCs w:val="24"/>
        </w:rPr>
        <w:t xml:space="preserve">Anatolijaus </w:t>
      </w:r>
      <w:proofErr w:type="spellStart"/>
      <w:r w:rsidR="00327081">
        <w:rPr>
          <w:szCs w:val="24"/>
        </w:rPr>
        <w:t>Kolosovskio</w:t>
      </w:r>
      <w:proofErr w:type="spellEnd"/>
      <w:r w:rsidR="00327081">
        <w:rPr>
          <w:szCs w:val="24"/>
        </w:rPr>
        <w:t xml:space="preserve">, </w:t>
      </w:r>
      <w:r w:rsidR="00327081" w:rsidRPr="00BD334F">
        <w:rPr>
          <w:szCs w:val="24"/>
        </w:rPr>
        <w:t xml:space="preserve">Vytauto Pacevičiaus, Vitalijaus </w:t>
      </w:r>
      <w:proofErr w:type="spellStart"/>
      <w:r w:rsidR="00327081" w:rsidRPr="00BD334F">
        <w:rPr>
          <w:szCs w:val="24"/>
        </w:rPr>
        <w:t>Zelionkos</w:t>
      </w:r>
      <w:proofErr w:type="spellEnd"/>
      <w:r w:rsidR="00327081">
        <w:rPr>
          <w:szCs w:val="24"/>
        </w:rPr>
        <w:t xml:space="preserve">, Vytauto Ruzgio, Ričardo </w:t>
      </w:r>
      <w:proofErr w:type="spellStart"/>
      <w:r w:rsidR="00327081">
        <w:rPr>
          <w:szCs w:val="24"/>
        </w:rPr>
        <w:t>Ramšos</w:t>
      </w:r>
      <w:proofErr w:type="spellEnd"/>
      <w:r w:rsidR="00327081" w:rsidRPr="00BD334F">
        <w:rPr>
          <w:szCs w:val="24"/>
        </w:rPr>
        <w:t xml:space="preserve"> </w:t>
      </w:r>
      <w:r w:rsidR="00327081">
        <w:rPr>
          <w:szCs w:val="24"/>
        </w:rPr>
        <w:t xml:space="preserve">ir kitų pareiškėjų </w:t>
      </w:r>
      <w:r w:rsidR="00327081" w:rsidRPr="00BD334F">
        <w:rPr>
          <w:szCs w:val="24"/>
        </w:rPr>
        <w:t>peticiją „Dėl nusavintų pareigūnų ir karių pensijų grąžinimo“</w:t>
      </w:r>
      <w:r w:rsidR="00327081">
        <w:rPr>
          <w:szCs w:val="24"/>
        </w:rPr>
        <w:t>,</w:t>
      </w:r>
      <w:r w:rsidR="00327081" w:rsidRPr="00BD334F">
        <w:rPr>
          <w:szCs w:val="24"/>
        </w:rPr>
        <w:t xml:space="preserve"> priėmė sprendimą atmesti joje</w:t>
      </w:r>
      <w:r w:rsidR="00327081" w:rsidRPr="00BD334F">
        <w:rPr>
          <w:rFonts w:eastAsia="TimesNewRomanPSMT"/>
          <w:szCs w:val="24"/>
        </w:rPr>
        <w:t xml:space="preserve"> pateiktą pasiūlymą </w:t>
      </w:r>
      <w:r w:rsidR="00327081">
        <w:rPr>
          <w:rFonts w:eastAsia="Batang"/>
          <w:szCs w:val="24"/>
        </w:rPr>
        <w:t>priimti</w:t>
      </w:r>
      <w:r w:rsidR="00327081" w:rsidRPr="00BD334F">
        <w:rPr>
          <w:rFonts w:eastAsia="Batang"/>
          <w:szCs w:val="24"/>
        </w:rPr>
        <w:t xml:space="preserve"> </w:t>
      </w:r>
      <w:r w:rsidR="00327081">
        <w:rPr>
          <w:rFonts w:eastAsia="Batang"/>
          <w:szCs w:val="24"/>
        </w:rPr>
        <w:t>jų pateiktą</w:t>
      </w:r>
      <w:r w:rsidR="00327081" w:rsidRPr="00BD334F">
        <w:rPr>
          <w:rFonts w:eastAsia="Batang"/>
          <w:szCs w:val="24"/>
        </w:rPr>
        <w:t xml:space="preserve"> Lietuvos Respublikos pareigūnų ir karių valstybinių pensij</w:t>
      </w:r>
      <w:r w:rsidR="00327081">
        <w:rPr>
          <w:rFonts w:eastAsia="Batang"/>
          <w:szCs w:val="24"/>
        </w:rPr>
        <w:t>ų kompensavimo įstatymo projektą.</w:t>
      </w:r>
    </w:p>
    <w:p w:rsidR="00D22D86" w:rsidRDefault="00D22D86" w:rsidP="0048676A">
      <w:pPr>
        <w:autoSpaceDE w:val="0"/>
        <w:autoSpaceDN w:val="0"/>
        <w:adjustRightInd w:val="0"/>
        <w:rPr>
          <w:rFonts w:eastAsia="Batang"/>
          <w:szCs w:val="24"/>
        </w:rPr>
      </w:pPr>
      <w:r>
        <w:rPr>
          <w:rFonts w:eastAsia="Batang"/>
          <w:szCs w:val="24"/>
        </w:rPr>
        <w:t xml:space="preserve">Komisija taip pat nusprendė siūlyti Seimui pasiūlyti Lietuvos Respublikos Vyriausybei </w:t>
      </w:r>
      <w:r w:rsidRPr="00BD334F">
        <w:rPr>
          <w:rFonts w:eastAsia="Batang"/>
          <w:szCs w:val="24"/>
        </w:rPr>
        <w:t>numatyti susidariusių praradimų asmenims, kuriems valstybinė pensija buvo paskirta ir mokama, kompensavimo mechanizmą, pagal kurį valstybė įsipareigotų tokiems asmenims, nebelikus ypatingos padėties</w:t>
      </w:r>
      <w:r>
        <w:rPr>
          <w:rFonts w:eastAsia="Batang"/>
          <w:szCs w:val="24"/>
        </w:rPr>
        <w:t>,</w:t>
      </w:r>
      <w:r w:rsidRPr="00BD334F">
        <w:rPr>
          <w:rFonts w:eastAsia="Batang"/>
          <w:szCs w:val="24"/>
        </w:rPr>
        <w:t xml:space="preserve"> per protingą laikotarpį teisingai kompensuoti jų praradimus, atsiradusius dėl valstybinės pensijos sumažinimo</w:t>
      </w:r>
      <w:r>
        <w:rPr>
          <w:rFonts w:eastAsia="Batang"/>
          <w:szCs w:val="24"/>
        </w:rPr>
        <w:t>.</w:t>
      </w:r>
    </w:p>
    <w:p w:rsidR="00327081" w:rsidRPr="00D841BE" w:rsidRDefault="00327081" w:rsidP="0048676A">
      <w:pPr>
        <w:autoSpaceDE w:val="0"/>
        <w:autoSpaceDN w:val="0"/>
        <w:adjustRightInd w:val="0"/>
        <w:rPr>
          <w:rFonts w:eastAsia="Batang"/>
          <w:szCs w:val="24"/>
        </w:rPr>
      </w:pPr>
      <w:r w:rsidRPr="00BD334F">
        <w:rPr>
          <w:color w:val="000000"/>
          <w:szCs w:val="24"/>
        </w:rPr>
        <w:t xml:space="preserve">Komisija šį sprendimą priėmė, atsižvelgusi į </w:t>
      </w:r>
      <w:r>
        <w:rPr>
          <w:color w:val="000000"/>
          <w:szCs w:val="24"/>
        </w:rPr>
        <w:t>Lietuvos Respublikos s</w:t>
      </w:r>
      <w:r w:rsidRPr="00BD334F">
        <w:rPr>
          <w:rFonts w:eastAsia="Batang"/>
          <w:szCs w:val="24"/>
        </w:rPr>
        <w:t>ocialinės apsaugos ir darbo mini</w:t>
      </w:r>
      <w:r>
        <w:rPr>
          <w:rFonts w:eastAsia="Batang"/>
          <w:szCs w:val="24"/>
        </w:rPr>
        <w:t>sterijos pateiktą nuomonę, į posėdyje pateiktus paaiškinimus ir dėl šių motyvų: n</w:t>
      </w:r>
      <w:r w:rsidRPr="00BD334F">
        <w:rPr>
          <w:rFonts w:eastAsia="Batang"/>
          <w:szCs w:val="24"/>
        </w:rPr>
        <w:t>uo 2010 m. įsigaliojusio Lietuvos Respublikos socialinių išmokų perskaičiavimo ir mokėjimo laikinojo įstatymo (toliau Laikinasis įstatymas) nuostatos, pagal kurias valstybinės pensijos (taip pat ir pareigūnų ir karių) buvo papildomai mažinamos priklausomai nuo gautų draudžiamųjų pajamų dydžio taikant šio įstatymo 5 straipsnio nuostatas, gali</w:t>
      </w:r>
      <w:r>
        <w:rPr>
          <w:rFonts w:eastAsia="Batang"/>
          <w:szCs w:val="24"/>
        </w:rPr>
        <w:t>ojo iki 2012 m. rugpjūčio 31 d.</w:t>
      </w:r>
      <w:r w:rsidRPr="00BD334F">
        <w:rPr>
          <w:rFonts w:eastAsia="Batang"/>
          <w:szCs w:val="24"/>
        </w:rPr>
        <w:t xml:space="preserve"> </w:t>
      </w:r>
      <w:r w:rsidRPr="00D841BE">
        <w:rPr>
          <w:rFonts w:eastAsia="Batang"/>
          <w:szCs w:val="24"/>
        </w:rPr>
        <w:t xml:space="preserve">Nuo 2014 m. sausio 1 d. nustojus galioti šio įstatymo 4 straipsnio nuostatoms, kuriomis vadovaujantis valstybinės pensijos buvo mažinamos iki 20 proc. atsižvelgiant į jų dydį, šių išmokų dydžiai </w:t>
      </w:r>
      <w:r>
        <w:rPr>
          <w:rFonts w:eastAsia="Batang"/>
          <w:szCs w:val="24"/>
        </w:rPr>
        <w:t xml:space="preserve">buvo </w:t>
      </w:r>
      <w:r w:rsidRPr="00D841BE">
        <w:rPr>
          <w:rFonts w:eastAsia="Batang"/>
          <w:szCs w:val="24"/>
        </w:rPr>
        <w:t>sugrąžinti į 2009 m. lygį.</w:t>
      </w:r>
    </w:p>
    <w:p w:rsidR="00327081" w:rsidRPr="00BD334F" w:rsidRDefault="00327081" w:rsidP="0048676A">
      <w:pPr>
        <w:autoSpaceDE w:val="0"/>
        <w:autoSpaceDN w:val="0"/>
        <w:adjustRightInd w:val="0"/>
        <w:rPr>
          <w:rFonts w:eastAsia="Batang"/>
          <w:szCs w:val="24"/>
        </w:rPr>
      </w:pPr>
      <w:r w:rsidRPr="00BD334F">
        <w:rPr>
          <w:rFonts w:eastAsia="Batang"/>
          <w:szCs w:val="24"/>
        </w:rPr>
        <w:t xml:space="preserve">2012 m. rugsėjo 1 d. įsigaliojo Lietuvos Respublikos valstybiniu pensijų įstatymo 3 straipsnio pakeitimo įstatymas, kuriuo valstybinių pensijų ir socialinio draudimo pensijų bendros </w:t>
      </w:r>
      <w:r w:rsidRPr="00BD334F">
        <w:rPr>
          <w:rFonts w:eastAsia="Batang"/>
          <w:szCs w:val="24"/>
        </w:rPr>
        <w:lastRenderedPageBreak/>
        <w:t>sumos maksimali ri</w:t>
      </w:r>
      <w:r>
        <w:rPr>
          <w:rFonts w:eastAsia="Batang"/>
          <w:szCs w:val="24"/>
        </w:rPr>
        <w:t>ba buvo atstatyta nuo 1,3 iki 1,</w:t>
      </w:r>
      <w:r w:rsidRPr="00BD334F">
        <w:rPr>
          <w:rFonts w:eastAsia="Batang"/>
          <w:szCs w:val="24"/>
        </w:rPr>
        <w:t>5 (galiojusio iki 2010 m. sausio 1 d.) vidutinio mėnesinio darbo užmokesčio (toliau –VDU) dydžio.</w:t>
      </w:r>
    </w:p>
    <w:p w:rsidR="00327081" w:rsidRPr="00D841BE" w:rsidRDefault="00327081" w:rsidP="0048676A">
      <w:pPr>
        <w:autoSpaceDE w:val="0"/>
        <w:autoSpaceDN w:val="0"/>
        <w:adjustRightInd w:val="0"/>
        <w:rPr>
          <w:rFonts w:eastAsia="Batang"/>
          <w:szCs w:val="24"/>
        </w:rPr>
      </w:pPr>
      <w:r w:rsidRPr="00BD334F">
        <w:rPr>
          <w:rFonts w:eastAsia="Batang"/>
          <w:szCs w:val="24"/>
        </w:rPr>
        <w:t xml:space="preserve">Lietuvos Respublikos Konstitucinis Teismas (toliau </w:t>
      </w:r>
      <w:r>
        <w:rPr>
          <w:rFonts w:eastAsia="Batang"/>
          <w:szCs w:val="24"/>
        </w:rPr>
        <w:t>–</w:t>
      </w:r>
      <w:r w:rsidRPr="00BD334F">
        <w:rPr>
          <w:rFonts w:eastAsia="Batang"/>
          <w:szCs w:val="24"/>
        </w:rPr>
        <w:t xml:space="preserve"> Konstitucinis Teismas) 2010 m. balandžio 20 d. sprendime konstatavo, kad įstatymų leidėjas turi pareigą numatyti susidariusių praradimų asmenims, kuriems valstybinė pensija buvo paskirta ir mokama, kompensavimo mechanizmą, pagal kurį valstybė įsipareigotų tokiems asmenims, nebelikus ypatingos padėties (ekonomikos krizė</w:t>
      </w:r>
      <w:r>
        <w:rPr>
          <w:rFonts w:eastAsia="Batang"/>
          <w:szCs w:val="24"/>
        </w:rPr>
        <w:t>s</w:t>
      </w:r>
      <w:r w:rsidRPr="00BD334F">
        <w:rPr>
          <w:rFonts w:eastAsia="Batang"/>
          <w:szCs w:val="24"/>
        </w:rPr>
        <w:t xml:space="preserve"> ir kt.), per protingą laikotarpį teisingai kompensuoti jų praradimus, atsiradusius dėl valstybinės pensijos sumažinimo </w:t>
      </w:r>
      <w:r w:rsidRPr="00D841BE">
        <w:rPr>
          <w:rFonts w:eastAsia="Batang"/>
          <w:szCs w:val="24"/>
        </w:rPr>
        <w:t>dideliu mastu (t.</w:t>
      </w:r>
      <w:r>
        <w:rPr>
          <w:rFonts w:eastAsia="Batang"/>
          <w:szCs w:val="24"/>
        </w:rPr>
        <w:t xml:space="preserve"> </w:t>
      </w:r>
      <w:r w:rsidRPr="00D841BE">
        <w:rPr>
          <w:rFonts w:eastAsia="Batang"/>
          <w:szCs w:val="24"/>
        </w:rPr>
        <w:t xml:space="preserve">y. taikant Laikinojo įstatymo 5 straipsnio nuostatas). Praradimai, atsiradę dėl valstybinių pensijų mažinimo, gali būti kompensuojami mažesniu mastu nei praradimai, atsiradę dėl senatvės ar invalidumo pensijų mažinimo. Konstitucinis Teismas 2012 m. vasario 6 d. nutarime pažymėjo, kad Laikinasis įstatymas ta apimtimi, kiek jame nustatytas valstybinių pensijų perskaičiavimas atsižvelgiant į pensijos dydį (taikant Laikinojo įstatymo 4 straipsnio nuostatas), Lietuvos Respublikos Konstitucijai (toliau </w:t>
      </w:r>
      <w:r>
        <w:rPr>
          <w:rFonts w:eastAsia="Batang"/>
          <w:szCs w:val="24"/>
        </w:rPr>
        <w:t>–</w:t>
      </w:r>
      <w:r w:rsidRPr="00D841BE">
        <w:rPr>
          <w:rFonts w:eastAsia="Batang"/>
          <w:szCs w:val="24"/>
        </w:rPr>
        <w:t xml:space="preserve"> Konstitucija) neprieštarauja, nes nėra pagrindo konstatuoti, kad dėl šio teisinio reguliavimo valstybinės pensijos sumažintos dideliu mastu.</w:t>
      </w:r>
    </w:p>
    <w:p w:rsidR="00327081" w:rsidRPr="00BD334F" w:rsidRDefault="00327081" w:rsidP="0048676A">
      <w:pPr>
        <w:autoSpaceDE w:val="0"/>
        <w:autoSpaceDN w:val="0"/>
        <w:adjustRightInd w:val="0"/>
        <w:rPr>
          <w:rFonts w:eastAsia="Batang"/>
          <w:szCs w:val="24"/>
        </w:rPr>
      </w:pPr>
      <w:r w:rsidRPr="00BD334F">
        <w:rPr>
          <w:rFonts w:eastAsia="Batang"/>
          <w:szCs w:val="24"/>
        </w:rPr>
        <w:t>Atsižvelgiant į valstybės finansines galimybes 2014 m. gegužės 15 d. Lietuvos Respublikos Seimo priimtame Valstybinių socialinio draudimo senatvės ir netekto darbingumo (invalidumo) pensijų kompensavimo įstatyme numatyta pirmiausia kompensuoti tas nemokėtų valstybinių socialinio draudimo senatvės ir netekto darbingumo (invalidumo) pensijų dalių sumas, kurios susidarė dėl 2010</w:t>
      </w:r>
      <w:r>
        <w:rPr>
          <w:rFonts w:eastAsia="Batang"/>
          <w:szCs w:val="24"/>
        </w:rPr>
        <w:t>–</w:t>
      </w:r>
      <w:r w:rsidRPr="00BD334F">
        <w:rPr>
          <w:rFonts w:eastAsia="Batang"/>
          <w:szCs w:val="24"/>
        </w:rPr>
        <w:t>2011 m. sumažintų einamųjų metų draudžiamųjų pajamų. Vėliau, įgyvendinant minėtus Konstitucinio Teismo nutarimus, buvo priimtas dar vienas kompensavimo įstatymas – 2015 m. birželio 30 d. Seimas priėmė Lietuvos Respublikos valstybinių socialinio draudimo senatvės pensijų ir valstybinių pensijų, sumažintų dėl draudžiamųjų pajamų turėjimo, kompensavimo įstatymą. Šiuo įstatymu nustatyta valstybinių pensijų (iš jų – pareigūnų ir karių valstybinių pensijų), sumažintų dėl Laikinojo įstatymo 5 straipsnio nuostatų taikymo (vadovaujantis šiuo straipsniu, valstybinės pensijos buvo mažinamos papildomai dėl to, kad asmenys turėjo draudžiamųjų pajamų), kompensavimo tvarka, dydžiai ir terminai. Valstybinių pensijų, sumažintų dėl draudžiamųjų pajamų turėjimo, kompensavimas numatytas 2016–2018 metais.</w:t>
      </w:r>
    </w:p>
    <w:p w:rsidR="00327081" w:rsidRPr="00BD334F" w:rsidRDefault="00327081" w:rsidP="0048676A">
      <w:pPr>
        <w:autoSpaceDE w:val="0"/>
        <w:autoSpaceDN w:val="0"/>
        <w:adjustRightInd w:val="0"/>
        <w:rPr>
          <w:rFonts w:eastAsia="Batang"/>
          <w:szCs w:val="24"/>
        </w:rPr>
      </w:pPr>
      <w:r>
        <w:rPr>
          <w:rFonts w:eastAsia="Batang"/>
          <w:szCs w:val="24"/>
        </w:rPr>
        <w:t>Patenkinus pareiškėjų pasiūlymą, jų siūlomo Į</w:t>
      </w:r>
      <w:r w:rsidRPr="00BD334F">
        <w:rPr>
          <w:rFonts w:eastAsia="Batang"/>
          <w:szCs w:val="24"/>
        </w:rPr>
        <w:t xml:space="preserve">statymo projekto nuostatos būtų taikytinos tik vienai valstybinių pensijų gavėjų grupei, nors vadovaujantis Laikinuoju įstatymu buvo nustatytas visų rūšių valstybinių pensijų (nukentėjusiųjų asmenų, Lietuvos Respublikos pirmojo ir antrojo laipsnių, teisėjų, pareigūnų ir karių, mokslininkų) perskaičiavimas, išskyrus atvejus, </w:t>
      </w:r>
      <w:r>
        <w:rPr>
          <w:rFonts w:eastAsia="Batang"/>
          <w:szCs w:val="24"/>
        </w:rPr>
        <w:t>kai</w:t>
      </w:r>
      <w:r w:rsidRPr="00BD334F">
        <w:rPr>
          <w:rFonts w:eastAsia="Batang"/>
          <w:szCs w:val="24"/>
        </w:rPr>
        <w:t xml:space="preserve"> ši pensija buvo vienintelė gavėjo gaunama pensija ir ji neviršijo 650 Lt. Todėl manytina, kad </w:t>
      </w:r>
      <w:r>
        <w:rPr>
          <w:rFonts w:eastAsia="Batang"/>
          <w:szCs w:val="24"/>
        </w:rPr>
        <w:t>Į</w:t>
      </w:r>
      <w:r w:rsidRPr="00BD334F">
        <w:rPr>
          <w:rFonts w:eastAsia="Batang"/>
          <w:szCs w:val="24"/>
        </w:rPr>
        <w:t>statymo projektu siūlomas teisinis reguliavimas išskirtų vieną valstybinių pensijų gavėjų grupę ir taip g</w:t>
      </w:r>
      <w:r>
        <w:rPr>
          <w:rFonts w:eastAsia="Batang"/>
          <w:szCs w:val="24"/>
        </w:rPr>
        <w:t>alimai pažeistų Konstitucijoje į</w:t>
      </w:r>
      <w:r w:rsidRPr="00BD334F">
        <w:rPr>
          <w:rFonts w:eastAsia="Batang"/>
          <w:szCs w:val="24"/>
        </w:rPr>
        <w:t xml:space="preserve">tvirtintą </w:t>
      </w:r>
      <w:r>
        <w:rPr>
          <w:rFonts w:eastAsia="Batang"/>
          <w:szCs w:val="24"/>
        </w:rPr>
        <w:t>asmenų lygiateisiškumo principą.</w:t>
      </w:r>
    </w:p>
    <w:p w:rsidR="00327081" w:rsidRPr="00BD334F" w:rsidRDefault="00327081" w:rsidP="0048676A">
      <w:pPr>
        <w:autoSpaceDE w:val="0"/>
        <w:autoSpaceDN w:val="0"/>
        <w:adjustRightInd w:val="0"/>
        <w:rPr>
          <w:rFonts w:eastAsia="Batang"/>
          <w:szCs w:val="24"/>
        </w:rPr>
      </w:pPr>
      <w:r w:rsidRPr="00BD334F">
        <w:rPr>
          <w:rFonts w:eastAsia="Batang"/>
          <w:szCs w:val="24"/>
        </w:rPr>
        <w:lastRenderedPageBreak/>
        <w:t>Konstitucinis Teismas ne kartą konstatavo, kad valstybinių pensijų ypatumai suponuoja tai, kad praradimai, atsiradę dėl valstybinių pensijų mažinimo, gali būti kompensuojami mažesniu mastu nei praradimai, atsiradę dėl valstybinių socialinio draudimo senatvės ar netekto darbingum</w:t>
      </w:r>
      <w:r>
        <w:rPr>
          <w:rFonts w:eastAsia="Batang"/>
          <w:szCs w:val="24"/>
        </w:rPr>
        <w:t>o (invalidumo) pensijų mažinimo.</w:t>
      </w:r>
    </w:p>
    <w:p w:rsidR="00327081" w:rsidRPr="00BD334F" w:rsidRDefault="00327081" w:rsidP="0048676A">
      <w:pPr>
        <w:autoSpaceDE w:val="0"/>
        <w:autoSpaceDN w:val="0"/>
        <w:adjustRightInd w:val="0"/>
        <w:rPr>
          <w:rFonts w:eastAsia="Batang"/>
          <w:szCs w:val="24"/>
        </w:rPr>
      </w:pPr>
      <w:r>
        <w:rPr>
          <w:rFonts w:eastAsia="Batang"/>
          <w:szCs w:val="24"/>
        </w:rPr>
        <w:t>V</w:t>
      </w:r>
      <w:r w:rsidRPr="00BD334F">
        <w:rPr>
          <w:rFonts w:eastAsia="Batang"/>
          <w:szCs w:val="24"/>
        </w:rPr>
        <w:t xml:space="preserve">alstybei visų pirma kyla pareiga įgyvendinti tuos įsipareigojimus, kurie Konstitucinio Teismo yra konstatuoti kaip privalomi – kompensuoti perskaičiuotas pagal Laikinojo Įstatymo nuostatas socialinio draudimo senatvės ir netekto darbingumo (invalidumo) pensijas ir dideliu mastu sumažintas valstybines pensijas. </w:t>
      </w:r>
    </w:p>
    <w:p w:rsidR="00327081" w:rsidRDefault="00327081" w:rsidP="0048676A">
      <w:pPr>
        <w:autoSpaceDE w:val="0"/>
        <w:autoSpaceDN w:val="0"/>
        <w:adjustRightInd w:val="0"/>
        <w:rPr>
          <w:rFonts w:eastAsia="Batang"/>
          <w:szCs w:val="24"/>
        </w:rPr>
      </w:pPr>
      <w:r w:rsidRPr="00BD334F">
        <w:rPr>
          <w:rFonts w:eastAsia="Batang"/>
          <w:szCs w:val="24"/>
        </w:rPr>
        <w:t xml:space="preserve">Klausimas dėl galimybės kompensuoti pareigūnų ir karių valstybines pensijas, </w:t>
      </w:r>
      <w:r>
        <w:rPr>
          <w:rFonts w:eastAsia="Batang"/>
          <w:szCs w:val="24"/>
        </w:rPr>
        <w:t>perskaičiuotas pagal Laikinojo į</w:t>
      </w:r>
      <w:r w:rsidRPr="00BD334F">
        <w:rPr>
          <w:rFonts w:eastAsia="Batang"/>
          <w:szCs w:val="24"/>
        </w:rPr>
        <w:t>statymo 4 straipsnį, taip pat šių pensijų dalį, kuri buvo neišmokėta dėl</w:t>
      </w:r>
      <w:r>
        <w:rPr>
          <w:rFonts w:eastAsia="Batang"/>
          <w:szCs w:val="24"/>
        </w:rPr>
        <w:t xml:space="preserve"> pensijos dydžio ribojimo iki 1,</w:t>
      </w:r>
      <w:r w:rsidRPr="00BD334F">
        <w:rPr>
          <w:rFonts w:eastAsia="Batang"/>
          <w:szCs w:val="24"/>
        </w:rPr>
        <w:t xml:space="preserve">3 VDU, turėtų būti vertinamas visų socialinių išmokų, kurios buvo </w:t>
      </w:r>
      <w:r>
        <w:rPr>
          <w:rFonts w:eastAsia="Batang"/>
          <w:szCs w:val="24"/>
        </w:rPr>
        <w:t>perskaičiuotos pagal Laikinojo į</w:t>
      </w:r>
      <w:r w:rsidRPr="00BD334F">
        <w:rPr>
          <w:rFonts w:eastAsia="Batang"/>
          <w:szCs w:val="24"/>
        </w:rPr>
        <w:t>statymo nuostatas, kontekste.</w:t>
      </w:r>
    </w:p>
    <w:p w:rsidR="00C14977" w:rsidRPr="007B4BA1" w:rsidRDefault="00327081" w:rsidP="0048676A">
      <w:pPr>
        <w:tabs>
          <w:tab w:val="left" w:pos="4678"/>
        </w:tabs>
        <w:ind w:firstLine="709"/>
        <w:rPr>
          <w:szCs w:val="24"/>
        </w:rPr>
      </w:pPr>
      <w:r>
        <w:rPr>
          <w:szCs w:val="24"/>
        </w:rPr>
        <w:t>2.</w:t>
      </w:r>
      <w:r w:rsidR="006806E1">
        <w:rPr>
          <w:szCs w:val="24"/>
        </w:rPr>
        <w:t xml:space="preserve"> </w:t>
      </w:r>
      <w:r>
        <w:rPr>
          <w:szCs w:val="24"/>
        </w:rPr>
        <w:t>Komisija iš esmės išnagrinėjusi</w:t>
      </w:r>
      <w:r w:rsidR="00C14977" w:rsidRPr="00C14977">
        <w:rPr>
          <w:szCs w:val="24"/>
        </w:rPr>
        <w:t xml:space="preserve"> </w:t>
      </w:r>
      <w:r w:rsidR="00C14977" w:rsidRPr="00F90B22">
        <w:rPr>
          <w:szCs w:val="24"/>
        </w:rPr>
        <w:t xml:space="preserve">Antano Algimanto Miškinio peticiją </w:t>
      </w:r>
      <w:r w:rsidR="00C14977" w:rsidRPr="0052723C">
        <w:rPr>
          <w:szCs w:val="24"/>
        </w:rPr>
        <w:t>„</w:t>
      </w:r>
      <w:r w:rsidR="00C14977" w:rsidRPr="00883149">
        <w:rPr>
          <w:szCs w:val="24"/>
        </w:rPr>
        <w:t xml:space="preserve">Dėl </w:t>
      </w:r>
      <w:r w:rsidR="00C14977">
        <w:rPr>
          <w:szCs w:val="24"/>
        </w:rPr>
        <w:t>Lietuvos Respublikos geriamojo vandens tiekimo ir nuotekų tvarkymo įstatymo</w:t>
      </w:r>
      <w:r w:rsidR="00C14977" w:rsidRPr="00883149">
        <w:rPr>
          <w:szCs w:val="24"/>
        </w:rPr>
        <w:t>“</w:t>
      </w:r>
      <w:r w:rsidR="00C14977">
        <w:rPr>
          <w:szCs w:val="24"/>
        </w:rPr>
        <w:t xml:space="preserve">, priėmė sprendimą </w:t>
      </w:r>
      <w:r w:rsidR="00D22D86">
        <w:rPr>
          <w:szCs w:val="24"/>
        </w:rPr>
        <w:t xml:space="preserve">atmesti </w:t>
      </w:r>
      <w:r w:rsidR="00C14977">
        <w:rPr>
          <w:szCs w:val="24"/>
        </w:rPr>
        <w:t>peticijoje pateiktą pasiūlymą papildyti Lietuvos Respublikos g</w:t>
      </w:r>
      <w:r w:rsidR="00C14977" w:rsidRPr="00963D4D">
        <w:rPr>
          <w:szCs w:val="24"/>
        </w:rPr>
        <w:t>eriamojo vandens tiek</w:t>
      </w:r>
      <w:r w:rsidR="00C14977">
        <w:rPr>
          <w:szCs w:val="24"/>
        </w:rPr>
        <w:t>imo ir nuotekų tvarkymo įstatymą,</w:t>
      </w:r>
      <w:r w:rsidR="00C14977" w:rsidRPr="00963D4D">
        <w:rPr>
          <w:szCs w:val="24"/>
        </w:rPr>
        <w:t xml:space="preserve"> </w:t>
      </w:r>
      <w:r w:rsidR="00C14977">
        <w:rPr>
          <w:szCs w:val="24"/>
        </w:rPr>
        <w:t>n</w:t>
      </w:r>
      <w:r w:rsidR="00C14977" w:rsidRPr="00963D4D">
        <w:rPr>
          <w:szCs w:val="24"/>
        </w:rPr>
        <w:t xml:space="preserve">ustatant, kad karšto vandens apskaitos prietaisus </w:t>
      </w:r>
      <w:r w:rsidR="00C14977" w:rsidRPr="007B4BA1">
        <w:rPr>
          <w:szCs w:val="24"/>
        </w:rPr>
        <w:t>daugiabučių namų butuose įrengia, juos prižiūri, organizuoja jų metrologinę patikrą geriamojo vandens karštam vandeniui ruošti tiekėjas.</w:t>
      </w:r>
    </w:p>
    <w:p w:rsidR="00C14977" w:rsidRPr="007B4BA1" w:rsidRDefault="00D22D86" w:rsidP="0048676A">
      <w:pPr>
        <w:tabs>
          <w:tab w:val="left" w:pos="4678"/>
        </w:tabs>
        <w:ind w:firstLine="709"/>
        <w:rPr>
          <w:szCs w:val="24"/>
        </w:rPr>
      </w:pPr>
      <w:r>
        <w:rPr>
          <w:szCs w:val="24"/>
        </w:rPr>
        <w:t>Komisija taip pat nusprendė siūlyti Seimui p</w:t>
      </w:r>
      <w:r w:rsidR="00C14977" w:rsidRPr="007B4BA1">
        <w:rPr>
          <w:szCs w:val="24"/>
        </w:rPr>
        <w:t xml:space="preserve">asiūlyti </w:t>
      </w:r>
      <w:r w:rsidR="00C14977">
        <w:rPr>
          <w:szCs w:val="24"/>
        </w:rPr>
        <w:t xml:space="preserve">Lietuvos Respublikos </w:t>
      </w:r>
      <w:r w:rsidR="00C14977" w:rsidRPr="007B4BA1">
        <w:rPr>
          <w:szCs w:val="24"/>
        </w:rPr>
        <w:t>Vyriausybei parengti teisės aktų, reglamentuojančių daugiabučių namų gyventojų apsirūpinimo karštu vandeniu būdą, kai šiluma perkama iš šilumos tiekėjo, o geriamasis vanduo karštam vandeniui ruošti – iš geriam</w:t>
      </w:r>
      <w:r w:rsidR="00C14977">
        <w:rPr>
          <w:szCs w:val="24"/>
        </w:rPr>
        <w:t>ojo vandens tiekėjo, pakeitimų projektus.</w:t>
      </w:r>
    </w:p>
    <w:p w:rsidR="00C14977" w:rsidRPr="00F971F2" w:rsidRDefault="00C14977" w:rsidP="0048676A">
      <w:pPr>
        <w:autoSpaceDE w:val="0"/>
        <w:autoSpaceDN w:val="0"/>
        <w:adjustRightInd w:val="0"/>
        <w:rPr>
          <w:szCs w:val="24"/>
        </w:rPr>
      </w:pPr>
      <w:r w:rsidRPr="00F971F2">
        <w:rPr>
          <w:color w:val="000000"/>
          <w:szCs w:val="24"/>
        </w:rPr>
        <w:t xml:space="preserve">Komisija šį sprendimą priėmė, atsižvelgusi į Lietuvos Respublikos aplinkos ministerijos ir Lietuvos Respublikos energetikos </w:t>
      </w:r>
      <w:r w:rsidRPr="00F971F2">
        <w:rPr>
          <w:rFonts w:eastAsia="Batang"/>
          <w:szCs w:val="24"/>
        </w:rPr>
        <w:t>ministerijos pateiktas nuomones, posėdyje pateiktus paaiškinimus ir manydama, kad būtina</w:t>
      </w:r>
      <w:r w:rsidRPr="00F971F2">
        <w:rPr>
          <w:szCs w:val="24"/>
        </w:rPr>
        <w:t xml:space="preserve"> tobulinti teisinį reguliavimą, sprendžiant daugiabučių namų vartotojų, pasirinkusių apsirūpinimo karštu vandeniu būdą be karšto vandens tiekėjo, t. y. kai atskirai yra perkama šiluma karštam vandeniui ruošti iš šilumos tiekėjo, o geriamasis vanduo karštam vandeniui ruošti – iš geriamojo vandens tiekėjo (be papildomo tarpininko).</w:t>
      </w:r>
    </w:p>
    <w:p w:rsidR="00E97FCD" w:rsidRPr="000F0C7C" w:rsidRDefault="000323A9" w:rsidP="00E97FCD">
      <w:pPr>
        <w:pStyle w:val="Paprastasistekstas"/>
        <w:spacing w:line="360" w:lineRule="auto"/>
        <w:jc w:val="both"/>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E97FCD">
        <w:rPr>
          <w:rFonts w:ascii="Times New Roman" w:hAnsi="Times New Roman" w:cs="Times New Roman"/>
          <w:sz w:val="24"/>
          <w:szCs w:val="24"/>
        </w:rPr>
        <w:t>Pareiškėjo peticijoje</w:t>
      </w:r>
      <w:r w:rsidR="00E97FCD" w:rsidRPr="000F0C7C">
        <w:rPr>
          <w:rFonts w:ascii="Times New Roman" w:hAnsi="Times New Roman" w:cs="Times New Roman"/>
          <w:sz w:val="24"/>
          <w:szCs w:val="24"/>
        </w:rPr>
        <w:t xml:space="preserve"> </w:t>
      </w:r>
      <w:r w:rsidR="00E97FCD">
        <w:rPr>
          <w:rFonts w:ascii="Times New Roman" w:hAnsi="Times New Roman" w:cs="Times New Roman"/>
          <w:sz w:val="24"/>
          <w:szCs w:val="24"/>
        </w:rPr>
        <w:t>pateiktas pasiūlymas yra susijęs</w:t>
      </w:r>
      <w:r w:rsidR="00E97FCD" w:rsidRPr="000F0C7C">
        <w:rPr>
          <w:rFonts w:ascii="Times New Roman" w:hAnsi="Times New Roman" w:cs="Times New Roman"/>
          <w:sz w:val="24"/>
          <w:szCs w:val="24"/>
        </w:rPr>
        <w:t xml:space="preserve"> su </w:t>
      </w:r>
      <w:r w:rsidR="00E97FCD">
        <w:rPr>
          <w:rFonts w:ascii="Times New Roman" w:hAnsi="Times New Roman" w:cs="Times New Roman"/>
          <w:sz w:val="24"/>
          <w:szCs w:val="24"/>
        </w:rPr>
        <w:t>Lietuvos Respublikos š</w:t>
      </w:r>
      <w:r w:rsidR="00E97FCD" w:rsidRPr="000F0C7C">
        <w:rPr>
          <w:rFonts w:ascii="Times New Roman" w:hAnsi="Times New Roman" w:cs="Times New Roman"/>
          <w:sz w:val="24"/>
          <w:szCs w:val="24"/>
        </w:rPr>
        <w:t xml:space="preserve">ilumos ūkio įstatymo 2 straipsnio 2 dalyje įtvirtintu vienu iš apsirūpinimo karštu vandeniu būdų: kai šiluma karštam vandeniui ruošti perkama iš šilumos tiekėjo, o geriamasis vanduo karštam vandeniui ruošti perkamas iš geriamojo vandens tiekėjo (toliau – 2-asis apsirūpinimo karštu vandeniu būdas). Tačiau Šilumos ūkio įstatyme nedetalizuota 2-ojo apsirūpinimo karštu vandeniu būdo įgyvendinimo tvarka, </w:t>
      </w:r>
      <w:r w:rsidR="00E97FCD">
        <w:rPr>
          <w:rFonts w:ascii="Times New Roman" w:hAnsi="Times New Roman" w:cs="Times New Roman"/>
          <w:sz w:val="24"/>
          <w:szCs w:val="24"/>
        </w:rPr>
        <w:t>todėl</w:t>
      </w:r>
      <w:r w:rsidR="00E97FCD" w:rsidRPr="000F0C7C">
        <w:rPr>
          <w:rFonts w:ascii="Times New Roman" w:hAnsi="Times New Roman" w:cs="Times New Roman"/>
          <w:sz w:val="24"/>
          <w:szCs w:val="24"/>
        </w:rPr>
        <w:t xml:space="preserve"> tokio pasiūlymo tenkinimas neišspręstų susidariusios situacijos iš esmės, o tik </w:t>
      </w:r>
      <w:r w:rsidR="00E97FCD">
        <w:rPr>
          <w:rFonts w:ascii="Times New Roman" w:hAnsi="Times New Roman" w:cs="Times New Roman"/>
          <w:sz w:val="24"/>
          <w:szCs w:val="24"/>
        </w:rPr>
        <w:t>sukeltų</w:t>
      </w:r>
      <w:r w:rsidR="00E97FCD" w:rsidRPr="000F0C7C">
        <w:rPr>
          <w:rFonts w:ascii="Times New Roman" w:hAnsi="Times New Roman" w:cs="Times New Roman"/>
          <w:sz w:val="24"/>
          <w:szCs w:val="24"/>
        </w:rPr>
        <w:t xml:space="preserve"> daugiau neaiškumų.</w:t>
      </w:r>
    </w:p>
    <w:p w:rsidR="00E97FCD" w:rsidRPr="000F0C7C" w:rsidRDefault="00E97FCD" w:rsidP="00E97FCD">
      <w:pPr>
        <w:pStyle w:val="Paprastasistekstas"/>
        <w:spacing w:line="360" w:lineRule="auto"/>
        <w:jc w:val="both"/>
        <w:rPr>
          <w:rFonts w:ascii="Times New Roman" w:hAnsi="Times New Roman" w:cs="Times New Roman"/>
          <w:sz w:val="24"/>
          <w:szCs w:val="24"/>
        </w:rPr>
      </w:pPr>
      <w:r w:rsidRPr="000F0C7C">
        <w:rPr>
          <w:rFonts w:ascii="Times New Roman" w:hAnsi="Times New Roman" w:cs="Times New Roman"/>
          <w:sz w:val="24"/>
          <w:szCs w:val="24"/>
        </w:rPr>
        <w:lastRenderedPageBreak/>
        <w:t>-</w:t>
      </w:r>
      <w:r w:rsidRPr="000F0C7C">
        <w:rPr>
          <w:rFonts w:ascii="Times New Roman" w:hAnsi="Times New Roman" w:cs="Times New Roman"/>
          <w:sz w:val="24"/>
          <w:szCs w:val="24"/>
        </w:rPr>
        <w:tab/>
      </w:r>
      <w:r>
        <w:rPr>
          <w:rFonts w:ascii="Times New Roman" w:hAnsi="Times New Roman" w:cs="Times New Roman"/>
          <w:sz w:val="24"/>
          <w:szCs w:val="24"/>
        </w:rPr>
        <w:t>K</w:t>
      </w:r>
      <w:r w:rsidRPr="000F0C7C">
        <w:rPr>
          <w:rFonts w:ascii="Times New Roman" w:hAnsi="Times New Roman" w:cs="Times New Roman"/>
          <w:sz w:val="24"/>
          <w:szCs w:val="24"/>
        </w:rPr>
        <w:t>aršto vandens apskaitos prietaisų įrengimą, priežiūrą ir atsakomybę reglamentuoja Šilumos ūkio įstatymas</w:t>
      </w:r>
      <w:r>
        <w:rPr>
          <w:rFonts w:ascii="Times New Roman" w:hAnsi="Times New Roman" w:cs="Times New Roman"/>
          <w:sz w:val="24"/>
          <w:szCs w:val="24"/>
        </w:rPr>
        <w:t>.</w:t>
      </w:r>
      <w:r w:rsidRPr="000F0C7C">
        <w:rPr>
          <w:rFonts w:ascii="Times New Roman" w:hAnsi="Times New Roman" w:cs="Times New Roman"/>
          <w:sz w:val="24"/>
          <w:szCs w:val="24"/>
        </w:rPr>
        <w:t xml:space="preserve"> </w:t>
      </w:r>
      <w:r>
        <w:rPr>
          <w:rFonts w:ascii="Times New Roman" w:hAnsi="Times New Roman" w:cs="Times New Roman"/>
          <w:sz w:val="24"/>
          <w:szCs w:val="24"/>
        </w:rPr>
        <w:t>Pagal šio įstatymo nuostatas</w:t>
      </w:r>
      <w:r w:rsidRPr="000F0C7C">
        <w:rPr>
          <w:rFonts w:ascii="Times New Roman" w:hAnsi="Times New Roman" w:cs="Times New Roman"/>
          <w:sz w:val="24"/>
          <w:szCs w:val="24"/>
        </w:rPr>
        <w:t xml:space="preserve"> karšto vandens apskaitos prietaisus įrengia karšto vandens tiekėjas. Nustačius </w:t>
      </w:r>
      <w:r>
        <w:rPr>
          <w:rFonts w:ascii="Times New Roman" w:hAnsi="Times New Roman" w:cs="Times New Roman"/>
          <w:sz w:val="24"/>
          <w:szCs w:val="24"/>
        </w:rPr>
        <w:t>Lietuvos Respublikos g</w:t>
      </w:r>
      <w:r w:rsidRPr="000F0C7C">
        <w:rPr>
          <w:rFonts w:ascii="Times New Roman" w:hAnsi="Times New Roman" w:cs="Times New Roman"/>
          <w:sz w:val="24"/>
          <w:szCs w:val="24"/>
        </w:rPr>
        <w:t>eriamojo vandens tiekimo ir nuotekų tvarkymo įstatyme pareigą geriamojo vandens tiekėjui įrengti karšto vandens apskaitos prietaisus, susidarytų situacija, kad du skirtingi teisės aktai reglamentuotų karšto vandens apskaitos prietaisų įrengimą. Tokiu atveju nebūtų aišku</w:t>
      </w:r>
      <w:r>
        <w:rPr>
          <w:rFonts w:ascii="Times New Roman" w:hAnsi="Times New Roman" w:cs="Times New Roman"/>
          <w:sz w:val="24"/>
          <w:szCs w:val="24"/>
        </w:rPr>
        <w:t>,</w:t>
      </w:r>
      <w:r w:rsidRPr="000F0C7C">
        <w:rPr>
          <w:rFonts w:ascii="Times New Roman" w:hAnsi="Times New Roman" w:cs="Times New Roman"/>
          <w:sz w:val="24"/>
          <w:szCs w:val="24"/>
        </w:rPr>
        <w:t xml:space="preserve"> kada ir kokiam tiekėjui reikia įrengti karšto vandens apskaitos prietaisą.</w:t>
      </w:r>
    </w:p>
    <w:p w:rsidR="00E97FCD" w:rsidRPr="000F0C7C" w:rsidRDefault="00E97FCD" w:rsidP="00E97FCD">
      <w:pPr>
        <w:pStyle w:val="Paprastasistekstas"/>
        <w:spacing w:line="360" w:lineRule="auto"/>
        <w:jc w:val="both"/>
        <w:rPr>
          <w:rFonts w:ascii="Times New Roman" w:hAnsi="Times New Roman" w:cs="Times New Roman"/>
          <w:sz w:val="24"/>
          <w:szCs w:val="24"/>
        </w:rPr>
      </w:pPr>
      <w:r w:rsidRPr="000F0C7C">
        <w:rPr>
          <w:rFonts w:ascii="Times New Roman" w:hAnsi="Times New Roman" w:cs="Times New Roman"/>
          <w:sz w:val="24"/>
          <w:szCs w:val="24"/>
        </w:rPr>
        <w:tab/>
        <w:t>Pagal Geriamojo vandens tiekimo ir nuotekų tvarkymo įstatymą, geriamojo vandens tiekėjas privalo įrengti geriamojo vandens apskaitos prietaisus, šių prietaisų įsigijimo, įrengimo, eksploatavimo ir patikros sąnaudos įtraukiamos į geriamojo vandens tiekimo ir nuotekų tvarkymo paslaugų kainą. Jei būtų nustatyta pareiga geriamojo vandens tiekėjui įrengti ir karšto vandens paskaitos prietaisus, pagal dabartinį reglamentavimą, visiems geriamojo vandens vartotojams, nepriklausomai nuo apsirūpinimo būdo</w:t>
      </w:r>
      <w:r>
        <w:rPr>
          <w:rFonts w:ascii="Times New Roman" w:hAnsi="Times New Roman" w:cs="Times New Roman"/>
          <w:sz w:val="24"/>
          <w:szCs w:val="24"/>
        </w:rPr>
        <w:t>,</w:t>
      </w:r>
      <w:r w:rsidRPr="000F0C7C">
        <w:rPr>
          <w:rFonts w:ascii="Times New Roman" w:hAnsi="Times New Roman" w:cs="Times New Roman"/>
          <w:sz w:val="24"/>
          <w:szCs w:val="24"/>
        </w:rPr>
        <w:t xml:space="preserve"> brangtų geriamasis vanduo.</w:t>
      </w:r>
    </w:p>
    <w:p w:rsidR="00C14977" w:rsidRPr="00437B67" w:rsidRDefault="00E97FCD" w:rsidP="00E97FCD">
      <w:pPr>
        <w:pStyle w:val="Paprastasistekstas"/>
        <w:spacing w:line="360" w:lineRule="auto"/>
        <w:jc w:val="both"/>
        <w:rPr>
          <w:szCs w:val="24"/>
        </w:rPr>
      </w:pPr>
      <w:r>
        <w:rPr>
          <w:rFonts w:ascii="Times New Roman" w:hAnsi="Times New Roman" w:cs="Times New Roman"/>
          <w:sz w:val="24"/>
          <w:szCs w:val="24"/>
        </w:rPr>
        <w:tab/>
        <w:t>Atsižvelgiant į visa tai,</w:t>
      </w:r>
      <w:r w:rsidRPr="000F0C7C">
        <w:rPr>
          <w:rFonts w:ascii="Times New Roman" w:hAnsi="Times New Roman" w:cs="Times New Roman"/>
          <w:sz w:val="24"/>
          <w:szCs w:val="24"/>
        </w:rPr>
        <w:t xml:space="preserve"> esamą situaciją reikia spręsti iš esmės, teisės aktuose išsamiai reglamentuojant 2-ojo apsirūpinimo karštu vandeniu būdo įgyvendinimo tvarką, nustatant, kas atsakingas už tokiu būdu suvartoto geriamojo vandens kiekio apskaičiavimą, išlaidų daugiabučio namo butų savininkams paskirstymą, mokesčių surinkimą ir atsiskaitymą ir t.t.</w:t>
      </w:r>
      <w:r w:rsidR="00D22D86">
        <w:rPr>
          <w:szCs w:val="24"/>
        </w:rPr>
        <w:t xml:space="preserve"> </w:t>
      </w:r>
    </w:p>
    <w:p w:rsidR="0048676A" w:rsidRPr="00F90B22" w:rsidRDefault="00C14977" w:rsidP="0048676A">
      <w:pPr>
        <w:tabs>
          <w:tab w:val="left" w:pos="4678"/>
        </w:tabs>
        <w:ind w:firstLine="709"/>
        <w:rPr>
          <w:szCs w:val="24"/>
        </w:rPr>
      </w:pPr>
      <w:r>
        <w:rPr>
          <w:szCs w:val="24"/>
        </w:rPr>
        <w:t xml:space="preserve">3. </w:t>
      </w:r>
      <w:r w:rsidR="0048676A">
        <w:rPr>
          <w:szCs w:val="24"/>
        </w:rPr>
        <w:t xml:space="preserve">Komisija iš esmės išnagrinėjusi </w:t>
      </w:r>
      <w:r w:rsidR="0048676A" w:rsidRPr="00F90B22">
        <w:rPr>
          <w:szCs w:val="24"/>
        </w:rPr>
        <w:t xml:space="preserve">Antano Algimanto Miškinio peticiją „Dėl karšto vandens nuostatų Šilumos ūkio </w:t>
      </w:r>
      <w:r w:rsidR="0048676A">
        <w:rPr>
          <w:szCs w:val="24"/>
        </w:rPr>
        <w:t>įstatyme“,</w:t>
      </w:r>
      <w:r w:rsidR="0048676A" w:rsidRPr="00F90B22">
        <w:rPr>
          <w:szCs w:val="24"/>
        </w:rPr>
        <w:t xml:space="preserve"> priėmė sprendimą atmesti joje pateiktą pasiūlymą pakeisti Lietuvos Respublikos š</w:t>
      </w:r>
      <w:r w:rsidR="0048676A">
        <w:rPr>
          <w:szCs w:val="24"/>
        </w:rPr>
        <w:t>ilumos ūkio įstatymą pagal pareiškėjo peticijoje išdėstytus argumentus.</w:t>
      </w:r>
    </w:p>
    <w:p w:rsidR="0048676A" w:rsidRPr="00F90B22" w:rsidRDefault="0048676A" w:rsidP="0048676A">
      <w:pPr>
        <w:autoSpaceDE w:val="0"/>
        <w:autoSpaceDN w:val="0"/>
        <w:adjustRightInd w:val="0"/>
        <w:rPr>
          <w:szCs w:val="24"/>
        </w:rPr>
      </w:pPr>
      <w:r w:rsidRPr="00F90B22">
        <w:rPr>
          <w:color w:val="000000"/>
          <w:szCs w:val="24"/>
        </w:rPr>
        <w:t xml:space="preserve">Komisija šį sprendimą priėmė, atsižvelgusi į Lietuvos Respublikos energetikos </w:t>
      </w:r>
      <w:r w:rsidRPr="00F90B22">
        <w:rPr>
          <w:rFonts w:eastAsia="Batang"/>
          <w:szCs w:val="24"/>
        </w:rPr>
        <w:t xml:space="preserve">ministerijos pateiktą nuomonę, į posėdyje pateiktus paaiškinimus ir </w:t>
      </w:r>
      <w:r>
        <w:rPr>
          <w:rFonts w:eastAsia="Batang"/>
          <w:szCs w:val="24"/>
        </w:rPr>
        <w:t>manydama, kad reikalavimas</w:t>
      </w:r>
      <w:r w:rsidRPr="00F90B22">
        <w:rPr>
          <w:szCs w:val="24"/>
        </w:rPr>
        <w:t xml:space="preserve"> suderinti Lietuvos Respublikos šilumos ūkio įstatymo nuostatas dėl konkurencija grindžiamos karšto vandens ruošimo ir tiekimo veiklos atitikimo kitoms Šilumos ūkio įstatymo nuostatoms yra nepagrįstas</w:t>
      </w:r>
      <w:r>
        <w:rPr>
          <w:szCs w:val="24"/>
        </w:rPr>
        <w:t>, kad</w:t>
      </w:r>
      <w:r w:rsidRPr="00F90B22">
        <w:rPr>
          <w:szCs w:val="24"/>
        </w:rPr>
        <w:t xml:space="preserve"> Šilumos ūkio įstatyme įtvirtintas karšto vandens ruošimo ir tiekimo veiklos reguliavimas yra proporcingas Šilumos ūkio įstatymo tikslams, grindžiamiems šios veiklos konkurencija, užtikrin</w:t>
      </w:r>
      <w:r>
        <w:rPr>
          <w:szCs w:val="24"/>
        </w:rPr>
        <w:t>ti.</w:t>
      </w:r>
    </w:p>
    <w:p w:rsidR="0048676A" w:rsidRPr="00F90B22" w:rsidRDefault="0048676A" w:rsidP="0048676A">
      <w:pPr>
        <w:autoSpaceDE w:val="0"/>
        <w:autoSpaceDN w:val="0"/>
        <w:adjustRightInd w:val="0"/>
        <w:rPr>
          <w:szCs w:val="24"/>
        </w:rPr>
      </w:pPr>
      <w:r w:rsidRPr="00F90B22">
        <w:rPr>
          <w:szCs w:val="24"/>
        </w:rPr>
        <w:t>Šilumos ūk</w:t>
      </w:r>
      <w:r>
        <w:rPr>
          <w:szCs w:val="24"/>
        </w:rPr>
        <w:t>io įstatymo 3 straipsnio 3 dalyje nustatyta</w:t>
      </w:r>
      <w:r w:rsidRPr="00F90B22">
        <w:rPr>
          <w:szCs w:val="24"/>
        </w:rPr>
        <w:t>, kad karšto vandens ruošimas ir tiekimas grindžiami konkurencija vartotojams pasirenkant karšto vandens tiekėją ar apsirūpinimo karštu vandeniu būdą. Valstybinė kainų ir energetikos kontrolės komisija ir savivaldybių institucijos numato priemones konkurencijai karšto vandens ūkyje skatinti ir užtikrina jų įgyvendinimą. Pagal Šilumos ūkio įstatymo 2 straipsnio 2 dalį yra trys karšto vandens vartotojų apsirūpinimo karštu vandeniu būdai:</w:t>
      </w:r>
    </w:p>
    <w:p w:rsidR="0048676A" w:rsidRPr="00F90B22" w:rsidRDefault="0048676A" w:rsidP="0048676A">
      <w:pPr>
        <w:autoSpaceDE w:val="0"/>
        <w:autoSpaceDN w:val="0"/>
        <w:adjustRightInd w:val="0"/>
        <w:rPr>
          <w:szCs w:val="24"/>
        </w:rPr>
      </w:pPr>
      <w:r w:rsidRPr="00F90B22">
        <w:rPr>
          <w:szCs w:val="24"/>
        </w:rPr>
        <w:t xml:space="preserve">1) centralizuotai paruošto karšto vandens kaip kompleksinio produkto pirkimas iš karšto vandens tiekėjo, </w:t>
      </w:r>
    </w:p>
    <w:p w:rsidR="0048676A" w:rsidRPr="00F90B22" w:rsidRDefault="0048676A" w:rsidP="0048676A">
      <w:pPr>
        <w:autoSpaceDE w:val="0"/>
        <w:autoSpaceDN w:val="0"/>
        <w:adjustRightInd w:val="0"/>
        <w:rPr>
          <w:szCs w:val="24"/>
        </w:rPr>
      </w:pPr>
      <w:r w:rsidRPr="00F90B22">
        <w:rPr>
          <w:szCs w:val="24"/>
        </w:rPr>
        <w:t xml:space="preserve">2) atskiras šilumos karštam vandeniui ruošti pirkimas iš šilumos tiekėjo, o geriamojo vandens karštam vandeniui ruošti pirkimas – iš geriamojo vandens tiekėjo, </w:t>
      </w:r>
    </w:p>
    <w:p w:rsidR="0048676A" w:rsidRPr="00F90B22" w:rsidRDefault="0048676A" w:rsidP="0048676A">
      <w:pPr>
        <w:autoSpaceDE w:val="0"/>
        <w:autoSpaceDN w:val="0"/>
        <w:adjustRightInd w:val="0"/>
        <w:rPr>
          <w:szCs w:val="24"/>
        </w:rPr>
      </w:pPr>
      <w:r w:rsidRPr="00F90B22">
        <w:rPr>
          <w:szCs w:val="24"/>
        </w:rPr>
        <w:lastRenderedPageBreak/>
        <w:t>3) individualus karšto vandens ruošimas jo vartojimo vietoje (bute), naudojant kitus energijos šaltinius (dujas, elektrą, kietąjį kurą) geriamajam vandeniui pašildyti iki higienos normomis nustatytos temperatūros.</w:t>
      </w:r>
    </w:p>
    <w:p w:rsidR="0048676A" w:rsidRPr="00F90B22" w:rsidRDefault="0048676A" w:rsidP="0048676A">
      <w:pPr>
        <w:autoSpaceDE w:val="0"/>
        <w:autoSpaceDN w:val="0"/>
        <w:adjustRightInd w:val="0"/>
        <w:rPr>
          <w:szCs w:val="24"/>
        </w:rPr>
      </w:pPr>
      <w:r w:rsidRPr="00F90B22">
        <w:rPr>
          <w:szCs w:val="24"/>
        </w:rPr>
        <w:t>Įvertinus tai, kad karšto vandens vartotojai turi galimybę pasirinkti vieną iš kelių apsirūpinimo karštu vandeniu būdų, darytina išvada, kad konkurencija šioje veiklos srityje yra užtikrinama.</w:t>
      </w:r>
    </w:p>
    <w:p w:rsidR="0048676A" w:rsidRPr="00F90B22" w:rsidRDefault="0048676A" w:rsidP="0048676A">
      <w:pPr>
        <w:autoSpaceDE w:val="0"/>
        <w:autoSpaceDN w:val="0"/>
        <w:adjustRightInd w:val="0"/>
        <w:rPr>
          <w:szCs w:val="24"/>
        </w:rPr>
      </w:pPr>
      <w:r w:rsidRPr="00F90B22">
        <w:rPr>
          <w:szCs w:val="24"/>
        </w:rPr>
        <w:t>Dėl šilumos punktų nuosavybės ir priežiūros pažymėtina, kad Lietuvos Respublikos Seimas 2011 m. rugsėjo 29 d. priėmė Lietuvos Respublikos šilumos ūkio įstatymo 2, 3, 20, 22, 28, 31, 32 straipsnių pakeitimo ir papildymo įstatymą, kurio 2 straipsnio 38 dalyje įtvirtinta šilumos punkto sąvoka, pagal kurią šilumos punkto įrenginiai, būtini namo tinkamam eksploatavimui ir naudojimui, yra pripažįstami neatskiriama namo dalimi bei daugiabučio namo butų ir kitų p</w:t>
      </w:r>
      <w:r>
        <w:rPr>
          <w:szCs w:val="24"/>
        </w:rPr>
        <w:t>atalpų savininkų bendrąja daline nuosavybe</w:t>
      </w:r>
      <w:r w:rsidRPr="00F90B22">
        <w:rPr>
          <w:szCs w:val="24"/>
        </w:rPr>
        <w:t xml:space="preserve">. Tačiau ši nuostata automatiškai neperleido šilumos tiekėjų ar trečiųjų asmenų šilumos punktų nuosavybės teisių daugiabučio namo gyventojams. Atkreiptinas dėmesys, </w:t>
      </w:r>
      <w:r>
        <w:rPr>
          <w:szCs w:val="24"/>
        </w:rPr>
        <w:t>kad</w:t>
      </w:r>
      <w:r w:rsidRPr="00F90B22">
        <w:rPr>
          <w:szCs w:val="24"/>
        </w:rPr>
        <w:t xml:space="preserve"> Šilumos ūkio įstatymo 24 straipsnio nuostatos nustato galimybę šilumos punkto įrenginių bendrosios nuosavybės teise nevaldantiems daugiabučio namo butų ir patalpų savininkams įsigyti šiuos įrenginius Civilinio kodekso nustatyta daiktų pirkimo-pardavimo išsimokėtinai tvarka, finansinės nuomos (lizingo) sutarties pagrindu ar kitais įstatymų nustatytais pagrindais. </w:t>
      </w:r>
      <w:r>
        <w:rPr>
          <w:szCs w:val="24"/>
        </w:rPr>
        <w:t>Taigi,</w:t>
      </w:r>
      <w:r w:rsidRPr="00F90B22">
        <w:rPr>
          <w:szCs w:val="24"/>
        </w:rPr>
        <w:t xml:space="preserve"> </w:t>
      </w:r>
      <w:r>
        <w:rPr>
          <w:szCs w:val="24"/>
        </w:rPr>
        <w:t xml:space="preserve"> </w:t>
      </w:r>
      <w:r w:rsidRPr="00F90B22">
        <w:rPr>
          <w:szCs w:val="24"/>
        </w:rPr>
        <w:t>remiantis Šilumos ūkio įstatymo 24 straipsnio 2 dalimi, tiek gyventojai, tiek šilumos tiekėjai turi teisę ir galimybę savanoriškai inicijuoti šilumos punktų nuosavybės perdavimą ar perėmimą minėtame straipsnyje nurodytais būdais.</w:t>
      </w:r>
    </w:p>
    <w:p w:rsidR="0048676A" w:rsidRPr="00F90B22" w:rsidRDefault="0048676A" w:rsidP="0048676A">
      <w:pPr>
        <w:autoSpaceDE w:val="0"/>
        <w:autoSpaceDN w:val="0"/>
        <w:adjustRightInd w:val="0"/>
        <w:rPr>
          <w:szCs w:val="24"/>
        </w:rPr>
      </w:pPr>
      <w:r w:rsidRPr="00F90B22">
        <w:rPr>
          <w:szCs w:val="24"/>
        </w:rPr>
        <w:t>Daugiabučio namo butų savininkų sprendimai dėl bendrosios dalinės nuosavybės priimami vadovaujantis Civilinio kodekso, Lietuvos Respublikos daugiabučių namų butų savininkų bendrijų įstatymo nuostatomis ir šiuos įstatymus įgyvendinančiuose teisės aktuose nustatyta tvarka.</w:t>
      </w:r>
    </w:p>
    <w:p w:rsidR="0048676A" w:rsidRPr="00F90B22" w:rsidRDefault="0048676A" w:rsidP="0048676A">
      <w:pPr>
        <w:autoSpaceDE w:val="0"/>
        <w:autoSpaceDN w:val="0"/>
        <w:adjustRightInd w:val="0"/>
        <w:rPr>
          <w:szCs w:val="24"/>
        </w:rPr>
      </w:pPr>
      <w:r w:rsidRPr="00F90B22">
        <w:rPr>
          <w:szCs w:val="24"/>
        </w:rPr>
        <w:t xml:space="preserve">Dėl </w:t>
      </w:r>
      <w:r>
        <w:rPr>
          <w:szCs w:val="24"/>
        </w:rPr>
        <w:t>p</w:t>
      </w:r>
      <w:r w:rsidRPr="00F90B22">
        <w:rPr>
          <w:szCs w:val="24"/>
        </w:rPr>
        <w:t xml:space="preserve">eticijoje minimos Šilumos ūkio įstatymo nuostatos, nustatančios, kad pastato šildymo ir karšto vandens sistemos prižiūrėtoju (eksploatuotoju) negali būti šilumos tiekėjas, tiekiantis šilumą tam namui, ar fiziniai asmenys, susiję su šilumos tiekėju darbo santykiais, išskyrus, kai su darbo santykiais susiję fiziniai asmenys gyvena tame name ir patys prižiūri savo ar gyvenamo namo bendrijai priklausančius kitus namus, taip pat asmenys, kurių ūkinė veikla apima kuro ruošą ir (ar) tiekimą, ar asmenys, kariu su šioje dalyje nurodytais asmenimis priklausantys susijusių ūkio subjektų grupei pagal </w:t>
      </w:r>
      <w:r>
        <w:rPr>
          <w:szCs w:val="24"/>
        </w:rPr>
        <w:t>Konkurencijos įstatymą, pažymėtina</w:t>
      </w:r>
      <w:r w:rsidRPr="00F90B22">
        <w:rPr>
          <w:szCs w:val="24"/>
        </w:rPr>
        <w:t xml:space="preserve">, kad šis draudimas šilumos tiekėjui netaikomas prižiūrint daugiabučio namo šildymo ir karšto vandens sistemas pastatuose, esančiuose </w:t>
      </w:r>
      <w:r>
        <w:rPr>
          <w:szCs w:val="24"/>
        </w:rPr>
        <w:t>gyvenamojoje vietovėje, kurioje</w:t>
      </w:r>
      <w:r w:rsidRPr="00F90B22">
        <w:rPr>
          <w:szCs w:val="24"/>
        </w:rPr>
        <w:t xml:space="preserve"> Lietuvos statistikos </w:t>
      </w:r>
      <w:r>
        <w:rPr>
          <w:szCs w:val="24"/>
        </w:rPr>
        <w:t>departamento duomenimis</w:t>
      </w:r>
      <w:r w:rsidRPr="00F90B22">
        <w:rPr>
          <w:szCs w:val="24"/>
        </w:rPr>
        <w:t xml:space="preserve"> gyvena mažiau negu 150 000 gyventojų, jeigu savivaldybės taryba nenusprendžia kitaip. Šis draudimas netaikomas šilumos tiekimo įmonėms, aptarnaujančioms mažiau kaip 5 000 prijungtų vartotojų, arba šilumos tiekimo įmonėms, per metus realizuojančioms mažiau negu 50 000 </w:t>
      </w:r>
      <w:proofErr w:type="spellStart"/>
      <w:r w:rsidRPr="00F90B22">
        <w:rPr>
          <w:szCs w:val="24"/>
        </w:rPr>
        <w:t>MWh</w:t>
      </w:r>
      <w:proofErr w:type="spellEnd"/>
      <w:r w:rsidRPr="00F90B22">
        <w:rPr>
          <w:szCs w:val="24"/>
        </w:rPr>
        <w:t xml:space="preserve"> šilumos, taip pat tais </w:t>
      </w:r>
      <w:r w:rsidRPr="00F90B22">
        <w:rPr>
          <w:szCs w:val="24"/>
        </w:rPr>
        <w:lastRenderedPageBreak/>
        <w:t>atvejais, kai atestuotas pastato šildymo ir karšto vandens sistemos prižiūrėtojas (eksploatuotojas) yra fizinis asmuo, kuris gyvena tame pastate.</w:t>
      </w:r>
    </w:p>
    <w:p w:rsidR="001F2E00" w:rsidRDefault="001F2E00" w:rsidP="001F2E00">
      <w:pPr>
        <w:spacing w:line="276" w:lineRule="auto"/>
        <w:rPr>
          <w:szCs w:val="24"/>
        </w:rPr>
      </w:pPr>
    </w:p>
    <w:p w:rsidR="00C86A01" w:rsidRPr="0025634D" w:rsidRDefault="00C86A01" w:rsidP="00C86A01">
      <w:pPr>
        <w:spacing w:line="276" w:lineRule="auto"/>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217183" w:rsidRPr="00217183" w:rsidRDefault="00217183" w:rsidP="00217183"/>
    <w:sectPr w:rsidR="00217183"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E00" w:rsidRDefault="001F2E00" w:rsidP="00236D6B">
      <w:pPr>
        <w:spacing w:line="240" w:lineRule="auto"/>
      </w:pPr>
      <w:r>
        <w:separator/>
      </w:r>
    </w:p>
  </w:endnote>
  <w:endnote w:type="continuationSeparator" w:id="0">
    <w:p w:rsidR="001F2E00" w:rsidRDefault="001F2E00"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Times New Roman"/>
    <w:panose1 w:val="00000000000000000000"/>
    <w:charset w:val="00"/>
    <w:family w:val="auto"/>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E00" w:rsidRDefault="001F2E00" w:rsidP="00236D6B">
      <w:pPr>
        <w:spacing w:line="240" w:lineRule="auto"/>
      </w:pPr>
      <w:r>
        <w:separator/>
      </w:r>
    </w:p>
  </w:footnote>
  <w:footnote w:type="continuationSeparator" w:id="0">
    <w:p w:rsidR="001F2E00" w:rsidRDefault="001F2E00"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0323A9">
          <w:rPr>
            <w:noProof/>
          </w:rPr>
          <w:t>6</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E00"/>
    <w:rsid w:val="000323A9"/>
    <w:rsid w:val="00050041"/>
    <w:rsid w:val="001A47A9"/>
    <w:rsid w:val="001F2E00"/>
    <w:rsid w:val="00217183"/>
    <w:rsid w:val="00236D6B"/>
    <w:rsid w:val="002760A3"/>
    <w:rsid w:val="00327081"/>
    <w:rsid w:val="004415F9"/>
    <w:rsid w:val="00464771"/>
    <w:rsid w:val="0048676A"/>
    <w:rsid w:val="004A3875"/>
    <w:rsid w:val="004B6F32"/>
    <w:rsid w:val="005D61C5"/>
    <w:rsid w:val="006806E1"/>
    <w:rsid w:val="00755752"/>
    <w:rsid w:val="00851E02"/>
    <w:rsid w:val="00887561"/>
    <w:rsid w:val="008B3C0F"/>
    <w:rsid w:val="00C14977"/>
    <w:rsid w:val="00C26569"/>
    <w:rsid w:val="00C6120F"/>
    <w:rsid w:val="00C86A01"/>
    <w:rsid w:val="00CE336C"/>
    <w:rsid w:val="00D22D86"/>
    <w:rsid w:val="00D52531"/>
    <w:rsid w:val="00D84D11"/>
    <w:rsid w:val="00E97FCD"/>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F2E00"/>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Paprastasistekstas">
    <w:name w:val="Plain Text"/>
    <w:basedOn w:val="prastasis"/>
    <w:link w:val="PaprastasistekstasDiagrama"/>
    <w:uiPriority w:val="99"/>
    <w:unhideWhenUsed/>
    <w:rsid w:val="00E97FCD"/>
    <w:pPr>
      <w:spacing w:line="240" w:lineRule="auto"/>
      <w:ind w:firstLine="0"/>
      <w:jc w:val="left"/>
    </w:pPr>
    <w:rPr>
      <w:rFonts w:ascii="Calibri" w:hAnsi="Calibri"/>
      <w:sz w:val="22"/>
      <w:szCs w:val="21"/>
    </w:rPr>
  </w:style>
  <w:style w:type="character" w:customStyle="1" w:styleId="PaprastasistekstasDiagrama">
    <w:name w:val="Paprastasis tekstas Diagrama"/>
    <w:basedOn w:val="Numatytasispastraiposriftas"/>
    <w:link w:val="Paprastasistekstas"/>
    <w:uiPriority w:val="99"/>
    <w:rsid w:val="00E97FCD"/>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F2E00"/>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styleId="Paprastasistekstas">
    <w:name w:val="Plain Text"/>
    <w:basedOn w:val="prastasis"/>
    <w:link w:val="PaprastasistekstasDiagrama"/>
    <w:uiPriority w:val="99"/>
    <w:unhideWhenUsed/>
    <w:rsid w:val="00E97FCD"/>
    <w:pPr>
      <w:spacing w:line="240" w:lineRule="auto"/>
      <w:ind w:firstLine="0"/>
      <w:jc w:val="left"/>
    </w:pPr>
    <w:rPr>
      <w:rFonts w:ascii="Calibri" w:hAnsi="Calibri"/>
      <w:sz w:val="22"/>
      <w:szCs w:val="21"/>
    </w:rPr>
  </w:style>
  <w:style w:type="character" w:customStyle="1" w:styleId="PaprastasistekstasDiagrama">
    <w:name w:val="Paprastasis tekstas Diagrama"/>
    <w:basedOn w:val="Numatytasispastraiposriftas"/>
    <w:link w:val="Paprastasistekstas"/>
    <w:uiPriority w:val="99"/>
    <w:rsid w:val="00E97FCD"/>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9654</Words>
  <Characters>5504</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11</cp:revision>
  <dcterms:created xsi:type="dcterms:W3CDTF">2015-12-14T06:12:00Z</dcterms:created>
  <dcterms:modified xsi:type="dcterms:W3CDTF">2015-12-18T05:51:00Z</dcterms:modified>
</cp:coreProperties>
</file>