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59A" w:rsidRPr="002C15A3" w:rsidRDefault="00AC059A" w:rsidP="00AC059A">
      <w:pPr>
        <w:jc w:val="center"/>
        <w:rPr>
          <w:rFonts w:cs="Times New Roman"/>
          <w:b/>
          <w:szCs w:val="24"/>
        </w:rPr>
      </w:pPr>
      <w:r w:rsidRPr="002C15A3">
        <w:rPr>
          <w:rFonts w:cs="Times New Roman"/>
          <w:b/>
          <w:szCs w:val="24"/>
        </w:rPr>
        <w:t xml:space="preserve">Informacija apie Komisijos 2015 m. </w:t>
      </w:r>
      <w:r>
        <w:rPr>
          <w:rFonts w:cs="Times New Roman"/>
          <w:b/>
          <w:szCs w:val="24"/>
        </w:rPr>
        <w:t>gruodžio 9</w:t>
      </w:r>
      <w:r w:rsidRPr="002C15A3">
        <w:rPr>
          <w:rFonts w:cs="Times New Roman"/>
          <w:b/>
          <w:szCs w:val="24"/>
        </w:rPr>
        <w:t xml:space="preserve"> d. posėdyje nagrinėtus klausimus ir priimtus sprendimus</w:t>
      </w:r>
    </w:p>
    <w:p w:rsidR="00AC059A" w:rsidRPr="002C15A3" w:rsidRDefault="00AC059A" w:rsidP="00AC059A">
      <w:pPr>
        <w:jc w:val="center"/>
        <w:rPr>
          <w:rFonts w:cs="Times New Roman"/>
          <w:b/>
          <w:szCs w:val="24"/>
        </w:rPr>
      </w:pPr>
    </w:p>
    <w:p w:rsidR="00AC059A" w:rsidRPr="002C15A3" w:rsidRDefault="00AC059A" w:rsidP="003E0B14">
      <w:pPr>
        <w:spacing w:line="276" w:lineRule="auto"/>
        <w:rPr>
          <w:rFonts w:cs="Times New Roman"/>
          <w:szCs w:val="24"/>
        </w:rPr>
      </w:pPr>
      <w:r w:rsidRPr="002C15A3">
        <w:rPr>
          <w:rFonts w:cs="Times New Roman"/>
          <w:szCs w:val="24"/>
        </w:rPr>
        <w:t xml:space="preserve">Komisijos 2015 m. </w:t>
      </w:r>
      <w:r>
        <w:rPr>
          <w:rFonts w:cs="Times New Roman"/>
          <w:szCs w:val="24"/>
        </w:rPr>
        <w:t>gruodžio 9</w:t>
      </w:r>
      <w:r w:rsidRPr="002C15A3">
        <w:rPr>
          <w:rFonts w:cs="Times New Roman"/>
          <w:szCs w:val="24"/>
        </w:rPr>
        <w:t xml:space="preserve"> d. posėdyje buvo nagrinėjami šie klausimai:</w:t>
      </w:r>
    </w:p>
    <w:p w:rsidR="00016291" w:rsidRDefault="00AC059A" w:rsidP="003E0B14">
      <w:pPr>
        <w:spacing w:line="276" w:lineRule="auto"/>
        <w:rPr>
          <w:szCs w:val="24"/>
        </w:rPr>
      </w:pPr>
      <w:r w:rsidRPr="002C15A3">
        <w:rPr>
          <w:rFonts w:cs="Times New Roman"/>
          <w:szCs w:val="24"/>
        </w:rPr>
        <w:t xml:space="preserve">1. </w:t>
      </w:r>
      <w:r w:rsidR="00016291">
        <w:rPr>
          <w:szCs w:val="24"/>
        </w:rPr>
        <w:t xml:space="preserve">Vlado Krivicko peticijos </w:t>
      </w:r>
      <w:r w:rsidR="00016291" w:rsidRPr="006729F9">
        <w:rPr>
          <w:bCs/>
          <w:szCs w:val="24"/>
          <w:lang w:eastAsia="lt-LT"/>
        </w:rPr>
        <w:t xml:space="preserve">„Dėl </w:t>
      </w:r>
      <w:r w:rsidR="00016291" w:rsidRPr="006729F9">
        <w:t>Lietuvos</w:t>
      </w:r>
      <w:r w:rsidR="00016291">
        <w:t xml:space="preserve"> Respublikos visuomenės informavimo įstatymo 19 straipsnio 2 dalies ir Lietuvos Respublikos Aukščiausios Tarybos 1991 m. gruodžio 20 d. nutarimo Nr. I-2132 „Dėl Gruzijos Respublikos Nepriklausomybės pripažinimo“ </w:t>
      </w:r>
      <w:r w:rsidR="00016291">
        <w:rPr>
          <w:szCs w:val="24"/>
        </w:rPr>
        <w:t>nagrinėjimas iš esmės.</w:t>
      </w:r>
    </w:p>
    <w:p w:rsidR="00051116" w:rsidRDefault="00AC059A" w:rsidP="003E0B14">
      <w:pPr>
        <w:spacing w:line="276" w:lineRule="auto"/>
        <w:rPr>
          <w:szCs w:val="24"/>
        </w:rPr>
      </w:pPr>
      <w:r>
        <w:rPr>
          <w:rFonts w:cs="Times New Roman"/>
          <w:szCs w:val="24"/>
        </w:rPr>
        <w:t xml:space="preserve">2. </w:t>
      </w:r>
      <w:r w:rsidR="00051116">
        <w:rPr>
          <w:szCs w:val="24"/>
        </w:rPr>
        <w:t xml:space="preserve">Anatolijaus Lapinsko peticijos </w:t>
      </w:r>
      <w:r w:rsidR="00051116" w:rsidRPr="00AD6BDA">
        <w:rPr>
          <w:szCs w:val="24"/>
        </w:rPr>
        <w:t>„</w:t>
      </w:r>
      <w:r w:rsidR="00051116">
        <w:rPr>
          <w:szCs w:val="24"/>
        </w:rPr>
        <w:t>Dėl pensijų reformos sistemos įstatymo pripažinimo netekusiu galios“ nagrinėjimas iš esmės.</w:t>
      </w:r>
    </w:p>
    <w:p w:rsidR="00051116" w:rsidRDefault="00AC059A" w:rsidP="003E0B14">
      <w:pPr>
        <w:spacing w:line="276" w:lineRule="auto"/>
        <w:rPr>
          <w:szCs w:val="24"/>
        </w:rPr>
      </w:pPr>
      <w:r w:rsidRPr="002C15A3">
        <w:rPr>
          <w:rFonts w:cs="Times New Roman"/>
          <w:szCs w:val="24"/>
        </w:rPr>
        <w:t xml:space="preserve">3. </w:t>
      </w:r>
      <w:r w:rsidR="00051116">
        <w:rPr>
          <w:szCs w:val="24"/>
        </w:rPr>
        <w:t>Dariaus Bučo peticijos „</w:t>
      </w:r>
      <w:r w:rsidR="00051116" w:rsidRPr="00EF388A">
        <w:rPr>
          <w:szCs w:val="24"/>
        </w:rPr>
        <w:t>Dėl Lietuvos Respublikos bausmių</w:t>
      </w:r>
      <w:r w:rsidR="00051116">
        <w:rPr>
          <w:szCs w:val="24"/>
        </w:rPr>
        <w:t xml:space="preserve"> vykdymo kodekso papildymo 157</w:t>
      </w:r>
      <w:r w:rsidR="00051116" w:rsidRPr="00C93E56">
        <w:rPr>
          <w:szCs w:val="24"/>
          <w:vertAlign w:val="superscript"/>
        </w:rPr>
        <w:t>1</w:t>
      </w:r>
      <w:r w:rsidR="00051116">
        <w:rPr>
          <w:szCs w:val="24"/>
        </w:rPr>
        <w:t xml:space="preserve"> straipsniu</w:t>
      </w:r>
      <w:r w:rsidR="00051116">
        <w:rPr>
          <w:rFonts w:cs="CG Times"/>
          <w:szCs w:val="24"/>
        </w:rPr>
        <w:t xml:space="preserve">“ </w:t>
      </w:r>
      <w:r w:rsidR="00051116">
        <w:rPr>
          <w:szCs w:val="24"/>
        </w:rPr>
        <w:t>nagrinėjimas iš esmės.</w:t>
      </w:r>
    </w:p>
    <w:p w:rsidR="00217183" w:rsidRDefault="00AC059A" w:rsidP="003E0B14">
      <w:pPr>
        <w:spacing w:line="276" w:lineRule="auto"/>
        <w:rPr>
          <w:szCs w:val="24"/>
        </w:rPr>
      </w:pPr>
      <w:r w:rsidRPr="002C15A3">
        <w:rPr>
          <w:rFonts w:cs="Times New Roman"/>
          <w:szCs w:val="24"/>
        </w:rPr>
        <w:t xml:space="preserve">4. </w:t>
      </w:r>
      <w:r w:rsidR="00051116">
        <w:rPr>
          <w:szCs w:val="24"/>
        </w:rPr>
        <w:t>Dėl Rimanto Jurkevičiaus ir kitų pareiškėjų kreipimosi „Dėl nusavintų pareigūnų ir karių pensijų grąžinimo“ pripažinimo peticija.</w:t>
      </w:r>
    </w:p>
    <w:p w:rsidR="009709F9" w:rsidRDefault="009709F9" w:rsidP="003E0B14">
      <w:pPr>
        <w:spacing w:line="276" w:lineRule="auto"/>
        <w:rPr>
          <w:szCs w:val="24"/>
        </w:rPr>
      </w:pPr>
      <w:r>
        <w:rPr>
          <w:szCs w:val="24"/>
        </w:rPr>
        <w:t xml:space="preserve">5. </w:t>
      </w:r>
      <w:r w:rsidR="00C43859">
        <w:rPr>
          <w:szCs w:val="24"/>
        </w:rPr>
        <w:t>Dėl Vytauto Pacevičiaus ir kitų pareiškėjų kreipimosi „Dėl nusavintų pareigūnų ir karių pensijų grąžinimo“ pripažinimo peticija.</w:t>
      </w:r>
    </w:p>
    <w:p w:rsidR="00C43859" w:rsidRDefault="003E0B14" w:rsidP="003E0B14">
      <w:pPr>
        <w:spacing w:line="276" w:lineRule="auto"/>
        <w:rPr>
          <w:szCs w:val="24"/>
        </w:rPr>
      </w:pPr>
      <w:r>
        <w:rPr>
          <w:szCs w:val="24"/>
        </w:rPr>
        <w:t>6</w:t>
      </w:r>
      <w:r w:rsidR="00C43859">
        <w:rPr>
          <w:szCs w:val="24"/>
        </w:rPr>
        <w:t xml:space="preserve">. </w:t>
      </w:r>
      <w:r w:rsidR="00C43859">
        <w:rPr>
          <w:szCs w:val="24"/>
        </w:rPr>
        <w:t xml:space="preserve">Dėl </w:t>
      </w:r>
      <w:r w:rsidR="00197C96">
        <w:rPr>
          <w:szCs w:val="24"/>
        </w:rPr>
        <w:t>Vytauto Ruzgio</w:t>
      </w:r>
      <w:r w:rsidR="00C43859">
        <w:rPr>
          <w:szCs w:val="24"/>
        </w:rPr>
        <w:t xml:space="preserve"> ir kitų pareiškėjų kreipimosi „Dėl nusavintų pareigūnų ir karių pensijų grąžinimo“ pripažinimo peticija.</w:t>
      </w:r>
    </w:p>
    <w:p w:rsidR="00C43859" w:rsidRDefault="003E0B14" w:rsidP="003E0B14">
      <w:pPr>
        <w:spacing w:line="276" w:lineRule="auto"/>
        <w:rPr>
          <w:szCs w:val="24"/>
        </w:rPr>
      </w:pPr>
      <w:r>
        <w:rPr>
          <w:szCs w:val="24"/>
        </w:rPr>
        <w:t>7</w:t>
      </w:r>
      <w:r w:rsidR="00C43859">
        <w:rPr>
          <w:szCs w:val="24"/>
        </w:rPr>
        <w:t xml:space="preserve">. </w:t>
      </w:r>
      <w:r w:rsidR="00C43859">
        <w:rPr>
          <w:szCs w:val="24"/>
        </w:rPr>
        <w:t xml:space="preserve">Dėl </w:t>
      </w:r>
      <w:r>
        <w:rPr>
          <w:szCs w:val="24"/>
        </w:rPr>
        <w:t xml:space="preserve">Ričardo </w:t>
      </w:r>
      <w:proofErr w:type="spellStart"/>
      <w:r>
        <w:rPr>
          <w:szCs w:val="24"/>
        </w:rPr>
        <w:t>Ramšos</w:t>
      </w:r>
      <w:proofErr w:type="spellEnd"/>
      <w:r w:rsidR="00C43859">
        <w:rPr>
          <w:szCs w:val="24"/>
        </w:rPr>
        <w:t xml:space="preserve"> ir kitų pareiškėjų kreipimosi „Dėl nusavintų pareigūnų ir karių pensijų grąžinimo“ pripažinimo peticija.</w:t>
      </w:r>
    </w:p>
    <w:p w:rsidR="00507CF3" w:rsidRDefault="00B2531E" w:rsidP="003E0B14">
      <w:pPr>
        <w:autoSpaceDE w:val="0"/>
        <w:autoSpaceDN w:val="0"/>
        <w:adjustRightInd w:val="0"/>
        <w:spacing w:line="276" w:lineRule="auto"/>
        <w:rPr>
          <w:szCs w:val="24"/>
        </w:rPr>
      </w:pPr>
      <w:r>
        <w:rPr>
          <w:szCs w:val="24"/>
        </w:rPr>
        <w:t>1.</w:t>
      </w:r>
      <w:r w:rsidR="00507CF3">
        <w:rPr>
          <w:szCs w:val="24"/>
        </w:rPr>
        <w:t xml:space="preserve"> Komisija priėmė sprendimą atmesti Vlado Krivicko peticijoje</w:t>
      </w:r>
      <w:r w:rsidR="00507CF3" w:rsidRPr="009F497B">
        <w:rPr>
          <w:bCs/>
          <w:szCs w:val="24"/>
        </w:rPr>
        <w:t xml:space="preserve"> </w:t>
      </w:r>
      <w:r w:rsidR="00507CF3" w:rsidRPr="009F497B">
        <w:rPr>
          <w:szCs w:val="24"/>
        </w:rPr>
        <w:t>„</w:t>
      </w:r>
      <w:r w:rsidR="00507CF3" w:rsidRPr="006729F9">
        <w:rPr>
          <w:bCs/>
          <w:szCs w:val="24"/>
          <w:lang w:eastAsia="lt-LT"/>
        </w:rPr>
        <w:t xml:space="preserve">Dėl </w:t>
      </w:r>
      <w:r w:rsidR="00507CF3" w:rsidRPr="006729F9">
        <w:t>Lietuvos</w:t>
      </w:r>
      <w:r w:rsidR="00507CF3">
        <w:t xml:space="preserve"> Respublikos visuomenės informavimo įstatymo 19 straipsnio 2 dalies ir Lietuvos Respublikos Aukščiausios Tarybos 1991 m. gruodžio 20 d. nutarimo Nr. I-2132 „Dėl Gruzijos Respublikos nepriklausomybės pripažinimo“ pateiktus</w:t>
      </w:r>
      <w:r w:rsidR="00507CF3">
        <w:rPr>
          <w:szCs w:val="24"/>
        </w:rPr>
        <w:t xml:space="preserve"> pasiūlymus:</w:t>
      </w:r>
    </w:p>
    <w:p w:rsidR="00507CF3" w:rsidRPr="00BF7784" w:rsidRDefault="00507CF3" w:rsidP="003E0B14">
      <w:pPr>
        <w:autoSpaceDE w:val="0"/>
        <w:autoSpaceDN w:val="0"/>
        <w:adjustRightInd w:val="0"/>
        <w:spacing w:line="276" w:lineRule="auto"/>
        <w:rPr>
          <w:rFonts w:eastAsia="TimesNewRomanPSMT"/>
          <w:szCs w:val="24"/>
        </w:rPr>
      </w:pPr>
      <w:r w:rsidRPr="00156656">
        <w:rPr>
          <w:szCs w:val="24"/>
        </w:rPr>
        <w:t>1) pakeisti Lietuvos Respublikos visuomenės informavimo įstatymo 19 straipsnio 2 dalį</w:t>
      </w:r>
      <w:r w:rsidRPr="00156656">
        <w:rPr>
          <w:rFonts w:eastAsia="TimesNewRomanPSMT"/>
          <w:szCs w:val="24"/>
        </w:rPr>
        <w:t xml:space="preserve"> </w:t>
      </w:r>
      <w:r>
        <w:rPr>
          <w:rFonts w:eastAsia="TimesNewRomanPSMT"/>
          <w:szCs w:val="24"/>
        </w:rPr>
        <w:t xml:space="preserve">ir ją </w:t>
      </w:r>
      <w:r w:rsidRPr="00BF7784">
        <w:rPr>
          <w:rFonts w:eastAsia="TimesNewRomanPSMT"/>
          <w:szCs w:val="24"/>
        </w:rPr>
        <w:t>išdėstyti taip:</w:t>
      </w:r>
    </w:p>
    <w:p w:rsidR="00507CF3" w:rsidRPr="00BF7784" w:rsidRDefault="00507CF3" w:rsidP="003E0B14">
      <w:pPr>
        <w:autoSpaceDE w:val="0"/>
        <w:autoSpaceDN w:val="0"/>
        <w:adjustRightInd w:val="0"/>
        <w:spacing w:line="276" w:lineRule="auto"/>
        <w:rPr>
          <w:rFonts w:eastAsia="TimesNewRomanPSMT"/>
          <w:szCs w:val="24"/>
        </w:rPr>
      </w:pPr>
      <w:r w:rsidRPr="00BF7784">
        <w:rPr>
          <w:rFonts w:eastAsia="TimesNewRomanPSMT"/>
          <w:szCs w:val="24"/>
        </w:rPr>
        <w:t>„2. Draudžiama platinti dezinformaciją ir informaciją, šmeižiančią, įžeidžiančią žmogų, tautą, žeminančią jų garbę, orumą.“</w:t>
      </w:r>
      <w:r>
        <w:rPr>
          <w:rFonts w:eastAsia="TimesNewRomanPSMT"/>
          <w:szCs w:val="24"/>
        </w:rPr>
        <w:t>;</w:t>
      </w:r>
    </w:p>
    <w:p w:rsidR="00507CF3" w:rsidRPr="00BF7784" w:rsidRDefault="00507CF3" w:rsidP="003E0B14">
      <w:pPr>
        <w:autoSpaceDE w:val="0"/>
        <w:autoSpaceDN w:val="0"/>
        <w:adjustRightInd w:val="0"/>
        <w:spacing w:line="276" w:lineRule="auto"/>
        <w:rPr>
          <w:rFonts w:eastAsia="TimesNewRomanPSMT"/>
          <w:szCs w:val="24"/>
        </w:rPr>
      </w:pPr>
      <w:r>
        <w:rPr>
          <w:szCs w:val="24"/>
        </w:rPr>
        <w:t>2)</w:t>
      </w:r>
      <w:r w:rsidRPr="00BF7784">
        <w:rPr>
          <w:rFonts w:eastAsia="TimesNewRomanPSMT"/>
          <w:szCs w:val="24"/>
        </w:rPr>
        <w:t xml:space="preserve"> </w:t>
      </w:r>
      <w:r>
        <w:rPr>
          <w:rFonts w:eastAsia="TimesNewRomanPSMT"/>
          <w:szCs w:val="24"/>
        </w:rPr>
        <w:t xml:space="preserve">pakeisti </w:t>
      </w:r>
      <w:r w:rsidRPr="00BF7784">
        <w:rPr>
          <w:rFonts w:eastAsia="TimesNewRomanPSMT"/>
          <w:szCs w:val="24"/>
        </w:rPr>
        <w:t xml:space="preserve">Lietuvos Respublikos Aukščiausiosios Tarybos 1991 m. gruodžio 20 d. </w:t>
      </w:r>
      <w:r>
        <w:rPr>
          <w:rFonts w:eastAsia="TimesNewRomanPSMT"/>
          <w:szCs w:val="24"/>
        </w:rPr>
        <w:t>nutarimą</w:t>
      </w:r>
      <w:r w:rsidRPr="00BF7784">
        <w:rPr>
          <w:rFonts w:eastAsia="TimesNewRomanPSMT"/>
          <w:szCs w:val="24"/>
        </w:rPr>
        <w:t xml:space="preserve"> Nr. I-2132 „Dėl Gruzijos Respublikos nepriklausomybės pripažinimo“ </w:t>
      </w:r>
      <w:r>
        <w:rPr>
          <w:rFonts w:eastAsia="TimesNewRomanPSMT"/>
          <w:szCs w:val="24"/>
        </w:rPr>
        <w:t>ir jį išdėstyti taip:</w:t>
      </w:r>
    </w:p>
    <w:p w:rsidR="00507CF3" w:rsidRPr="00BF7784" w:rsidRDefault="00507CF3" w:rsidP="003E0B14">
      <w:pPr>
        <w:autoSpaceDE w:val="0"/>
        <w:autoSpaceDN w:val="0"/>
        <w:adjustRightInd w:val="0"/>
        <w:spacing w:line="276" w:lineRule="auto"/>
        <w:rPr>
          <w:rFonts w:eastAsia="Times New Roman"/>
          <w:szCs w:val="24"/>
          <w:lang w:eastAsia="lt-LT"/>
        </w:rPr>
      </w:pPr>
      <w:r>
        <w:rPr>
          <w:rFonts w:eastAsia="TimesNewRomanPSMT"/>
          <w:szCs w:val="24"/>
        </w:rPr>
        <w:t>„</w:t>
      </w:r>
      <w:r w:rsidRPr="00BF7784">
        <w:rPr>
          <w:rFonts w:eastAsia="Times New Roman"/>
          <w:color w:val="000000"/>
          <w:szCs w:val="24"/>
          <w:lang w:eastAsia="lt-LT"/>
        </w:rPr>
        <w:t xml:space="preserve">Atsižvelgdama į Gruzijos Respublikos Aukščiausiosios Tarybos 1991 m. balandžio 9 d. Aktą „Dėl Gruzijos valstybinės nepriklausomybės atstatymo“ ir gerbdama laisvo tautų apsisprendimo teisę, išreikštą 1991 m. kovo 31 d. referendume, Lietuvos Respublikos Aukščiausioji Taryba </w:t>
      </w:r>
      <w:r w:rsidRPr="00BF7784">
        <w:rPr>
          <w:rFonts w:eastAsia="Times New Roman"/>
          <w:color w:val="000000"/>
          <w:spacing w:val="60"/>
          <w:szCs w:val="24"/>
          <w:lang w:eastAsia="lt-LT"/>
        </w:rPr>
        <w:t>nutari</w:t>
      </w:r>
      <w:r w:rsidRPr="00BF7784">
        <w:rPr>
          <w:rFonts w:eastAsia="Times New Roman"/>
          <w:color w:val="000000"/>
          <w:spacing w:val="20"/>
          <w:szCs w:val="24"/>
          <w:lang w:eastAsia="lt-LT"/>
        </w:rPr>
        <w:t>a:</w:t>
      </w:r>
    </w:p>
    <w:p w:rsidR="00507CF3" w:rsidRPr="00BF7784" w:rsidRDefault="00507CF3" w:rsidP="003E0B14">
      <w:pPr>
        <w:spacing w:line="276" w:lineRule="auto"/>
        <w:ind w:firstLine="709"/>
        <w:rPr>
          <w:rFonts w:eastAsia="Times New Roman"/>
          <w:szCs w:val="24"/>
          <w:lang w:eastAsia="lt-LT"/>
        </w:rPr>
      </w:pPr>
      <w:r>
        <w:rPr>
          <w:rFonts w:eastAsia="Times New Roman"/>
          <w:color w:val="000000"/>
          <w:szCs w:val="24"/>
          <w:lang w:eastAsia="lt-LT"/>
        </w:rPr>
        <w:t xml:space="preserve">1. </w:t>
      </w:r>
      <w:r w:rsidRPr="00BF7784">
        <w:rPr>
          <w:rFonts w:eastAsia="Times New Roman"/>
          <w:color w:val="000000"/>
          <w:szCs w:val="24"/>
          <w:lang w:eastAsia="lt-LT"/>
        </w:rPr>
        <w:t>Pripažinti Gruzijos Respublikos valstybinę nepriklausomybę.</w:t>
      </w:r>
    </w:p>
    <w:p w:rsidR="00507CF3" w:rsidRPr="00B43002" w:rsidRDefault="00507CF3" w:rsidP="003E0B14">
      <w:pPr>
        <w:autoSpaceDE w:val="0"/>
        <w:autoSpaceDN w:val="0"/>
        <w:adjustRightInd w:val="0"/>
        <w:spacing w:line="276" w:lineRule="auto"/>
        <w:rPr>
          <w:rFonts w:eastAsia="TimesNewRomanPSMT"/>
          <w:szCs w:val="24"/>
        </w:rPr>
      </w:pPr>
      <w:r w:rsidRPr="00B43002">
        <w:rPr>
          <w:bCs/>
          <w:szCs w:val="24"/>
        </w:rPr>
        <w:t>2. Konstatuoti, kad:</w:t>
      </w:r>
    </w:p>
    <w:p w:rsidR="00507CF3" w:rsidRPr="00B43002" w:rsidRDefault="00507CF3" w:rsidP="003E0B14">
      <w:pPr>
        <w:autoSpaceDE w:val="0"/>
        <w:autoSpaceDN w:val="0"/>
        <w:adjustRightInd w:val="0"/>
        <w:spacing w:line="276" w:lineRule="auto"/>
        <w:rPr>
          <w:bCs/>
          <w:szCs w:val="24"/>
        </w:rPr>
      </w:pPr>
      <w:r w:rsidRPr="00B43002">
        <w:rPr>
          <w:bCs/>
          <w:szCs w:val="24"/>
        </w:rPr>
        <w:t xml:space="preserve">2.1. 1991 m. kovo 31 d. referendume buvo pateiktas atsakyti vienintelis klausimas „Ar Jūs sutinkate atstatyti valstybinę Gruzijos </w:t>
      </w:r>
      <w:r>
        <w:rPr>
          <w:bCs/>
          <w:szCs w:val="24"/>
        </w:rPr>
        <w:t>nepriklausomybę 1918 m.</w:t>
      </w:r>
      <w:r w:rsidRPr="00B43002">
        <w:rPr>
          <w:bCs/>
          <w:szCs w:val="24"/>
        </w:rPr>
        <w:t xml:space="preserve"> gegužės 26 d. Nepriklausomybės akto pagrindu?“. Abchazijos Aukščiausioji Taryb</w:t>
      </w:r>
      <w:r>
        <w:rPr>
          <w:bCs/>
          <w:szCs w:val="24"/>
        </w:rPr>
        <w:t>a prieš šį referendumą dar 1990 m. rugpjūčio 25 d.</w:t>
      </w:r>
      <w:r w:rsidRPr="00B43002">
        <w:rPr>
          <w:bCs/>
          <w:szCs w:val="24"/>
        </w:rPr>
        <w:t xml:space="preserve"> priėmė Abchazijos valstybinio suvereniteto dekl</w:t>
      </w:r>
      <w:r>
        <w:rPr>
          <w:bCs/>
          <w:szCs w:val="24"/>
        </w:rPr>
        <w:t>araciją ir nutarimą „Dėl Abchazij</w:t>
      </w:r>
      <w:r w:rsidRPr="00B43002">
        <w:rPr>
          <w:bCs/>
          <w:szCs w:val="24"/>
        </w:rPr>
        <w:t>os valstybingumo teisinės apsaugos garantijų“ ir Abchazija faktiškai šį Gruzijos organizuotą referendumą ignoravo;</w:t>
      </w:r>
    </w:p>
    <w:p w:rsidR="00507CF3" w:rsidRPr="0080008C" w:rsidRDefault="00507CF3" w:rsidP="003E0B14">
      <w:pPr>
        <w:autoSpaceDE w:val="0"/>
        <w:autoSpaceDN w:val="0"/>
        <w:adjustRightInd w:val="0"/>
        <w:spacing w:line="276" w:lineRule="auto"/>
        <w:rPr>
          <w:bCs/>
          <w:szCs w:val="24"/>
        </w:rPr>
      </w:pPr>
      <w:r w:rsidRPr="00B43002">
        <w:rPr>
          <w:bCs/>
          <w:szCs w:val="24"/>
        </w:rPr>
        <w:t>2.2. Gruzijos Respublikos Aukščiausiosios Tarybos 1991 m. balandžio 9 d. Aktu „Dėl Gruzijos valstybinės nepriklausomybės atstatymo“ Gruzija pasiskelbė 1918-</w:t>
      </w:r>
      <w:r>
        <w:rPr>
          <w:bCs/>
          <w:szCs w:val="24"/>
        </w:rPr>
        <w:t>1921 metų</w:t>
      </w:r>
      <w:r w:rsidRPr="00B43002">
        <w:rPr>
          <w:bCs/>
          <w:szCs w:val="24"/>
        </w:rPr>
        <w:t xml:space="preserve"> Gruzijos Demokratinės Respublikos teisių perėmėja, su kuria Abchazija neturėjo nust</w:t>
      </w:r>
      <w:r>
        <w:rPr>
          <w:bCs/>
          <w:szCs w:val="24"/>
        </w:rPr>
        <w:t>ačiusi teisinių santykių. N</w:t>
      </w:r>
      <w:r w:rsidRPr="00B43002">
        <w:rPr>
          <w:bCs/>
          <w:szCs w:val="24"/>
        </w:rPr>
        <w:t xml:space="preserve">uo to momento Gruzijos SSR </w:t>
      </w:r>
      <w:proofErr w:type="spellStart"/>
      <w:r w:rsidRPr="00B43002">
        <w:rPr>
          <w:bCs/>
          <w:i/>
          <w:szCs w:val="24"/>
        </w:rPr>
        <w:t>de</w:t>
      </w:r>
      <w:proofErr w:type="spellEnd"/>
      <w:r w:rsidRPr="00B43002">
        <w:rPr>
          <w:bCs/>
          <w:i/>
          <w:szCs w:val="24"/>
        </w:rPr>
        <w:t xml:space="preserve"> jure</w:t>
      </w:r>
      <w:r w:rsidRPr="00B43002">
        <w:rPr>
          <w:bCs/>
          <w:szCs w:val="24"/>
        </w:rPr>
        <w:t xml:space="preserve"> nustojo veikti, atitinkamai valstybiniai</w:t>
      </w:r>
      <w:r>
        <w:rPr>
          <w:bCs/>
          <w:szCs w:val="24"/>
        </w:rPr>
        <w:t>-</w:t>
      </w:r>
      <w:r w:rsidRPr="00B43002">
        <w:rPr>
          <w:bCs/>
          <w:szCs w:val="24"/>
        </w:rPr>
        <w:t xml:space="preserve">teisiniai santykiai </w:t>
      </w:r>
      <w:r w:rsidRPr="00B43002">
        <w:rPr>
          <w:bCs/>
          <w:szCs w:val="24"/>
        </w:rPr>
        <w:lastRenderedPageBreak/>
        <w:t xml:space="preserve">tarp Abchazijos ir Gruzijos, </w:t>
      </w:r>
      <w:r w:rsidRPr="0080008C">
        <w:rPr>
          <w:bCs/>
          <w:szCs w:val="24"/>
        </w:rPr>
        <w:t>sukurti ir reguliuojami sovietine įstatymų leidėjo, buvo nutraukti, buvusios Gruzijos SSR teritorijoje atsirado tarpusavyje teisiniais santykiais nesusietos dvi valstybės – Abchazija ir Gruzija.“</w:t>
      </w:r>
    </w:p>
    <w:p w:rsidR="00507CF3" w:rsidRDefault="00507CF3" w:rsidP="003E0B14">
      <w:pPr>
        <w:autoSpaceDE w:val="0"/>
        <w:autoSpaceDN w:val="0"/>
        <w:adjustRightInd w:val="0"/>
        <w:spacing w:line="276" w:lineRule="auto"/>
        <w:rPr>
          <w:szCs w:val="24"/>
        </w:rPr>
      </w:pPr>
      <w:r w:rsidRPr="0080008C">
        <w:rPr>
          <w:color w:val="000000"/>
          <w:szCs w:val="24"/>
        </w:rPr>
        <w:t xml:space="preserve">Komisija šį sprendimą priėmė, atsižvelgusi į </w:t>
      </w:r>
      <w:r w:rsidRPr="0080008C">
        <w:rPr>
          <w:szCs w:val="24"/>
        </w:rPr>
        <w:t>Lietuvos Respublikos kultūros ministerijos ir Lietuvos Respublikos užsienio reikalų ministerijos pateiktas nuomones</w:t>
      </w:r>
      <w:r>
        <w:rPr>
          <w:szCs w:val="24"/>
        </w:rPr>
        <w:t xml:space="preserve"> ir dėl šių motyvų:</w:t>
      </w:r>
    </w:p>
    <w:p w:rsidR="00507CF3" w:rsidRPr="0080008C" w:rsidRDefault="00507CF3" w:rsidP="003E0B14">
      <w:pPr>
        <w:autoSpaceDE w:val="0"/>
        <w:autoSpaceDN w:val="0"/>
        <w:adjustRightInd w:val="0"/>
        <w:spacing w:line="276" w:lineRule="auto"/>
        <w:rPr>
          <w:rFonts w:eastAsia="TimesNewRomanPSMT"/>
          <w:szCs w:val="24"/>
        </w:rPr>
      </w:pPr>
      <w:r>
        <w:rPr>
          <w:rFonts w:eastAsia="TimesNewRomanPSMT"/>
          <w:szCs w:val="24"/>
        </w:rPr>
        <w:t>1. Š</w:t>
      </w:r>
      <w:r w:rsidRPr="0080008C">
        <w:rPr>
          <w:rFonts w:eastAsia="TimesNewRomanPSMT"/>
          <w:szCs w:val="24"/>
        </w:rPr>
        <w:t xml:space="preserve">iuo metu galiojančios </w:t>
      </w:r>
      <w:r w:rsidRPr="00156656">
        <w:rPr>
          <w:szCs w:val="24"/>
        </w:rPr>
        <w:t xml:space="preserve">Lietuvos Respublikos visuomenės informavimo įstatymo </w:t>
      </w:r>
      <w:r w:rsidRPr="0080008C">
        <w:rPr>
          <w:rFonts w:eastAsia="TimesNewRomanPSMT"/>
          <w:szCs w:val="24"/>
        </w:rPr>
        <w:t>nuostatos be kitų draudimų apima ir draudimą pla</w:t>
      </w:r>
      <w:r>
        <w:rPr>
          <w:rFonts w:eastAsia="TimesNewRomanPSMT"/>
          <w:szCs w:val="24"/>
        </w:rPr>
        <w:t>tinti dezinformaciją apie tautą, todėl V</w:t>
      </w:r>
      <w:r w:rsidRPr="00156656">
        <w:rPr>
          <w:szCs w:val="24"/>
        </w:rPr>
        <w:t xml:space="preserve">isuomenės informavimo įstatymo </w:t>
      </w:r>
      <w:r w:rsidRPr="0080008C">
        <w:rPr>
          <w:rFonts w:eastAsia="TimesNewRomanPSMT"/>
          <w:szCs w:val="24"/>
        </w:rPr>
        <w:t>19 straipsnio 2 dalies pakeitimas, papildant nuostatą žodžiu „tauta“, būtų perteklinis.</w:t>
      </w:r>
    </w:p>
    <w:p w:rsidR="00507CF3" w:rsidRPr="007F4CB2" w:rsidRDefault="00507CF3" w:rsidP="003E0B14">
      <w:pPr>
        <w:autoSpaceDE w:val="0"/>
        <w:autoSpaceDN w:val="0"/>
        <w:adjustRightInd w:val="0"/>
        <w:spacing w:line="276" w:lineRule="auto"/>
        <w:rPr>
          <w:rFonts w:eastAsia="TimesNewRomanPSMT"/>
          <w:szCs w:val="24"/>
        </w:rPr>
      </w:pPr>
      <w:r>
        <w:rPr>
          <w:rFonts w:eastAsia="TimesNewRomanPSMT"/>
          <w:szCs w:val="24"/>
        </w:rPr>
        <w:t>V</w:t>
      </w:r>
      <w:r>
        <w:rPr>
          <w:szCs w:val="24"/>
        </w:rPr>
        <w:t>isuomenės informavimo įstatymas</w:t>
      </w:r>
      <w:r>
        <w:rPr>
          <w:rFonts w:eastAsia="TimesNewRomanPSMT"/>
          <w:szCs w:val="24"/>
        </w:rPr>
        <w:t xml:space="preserve"> </w:t>
      </w:r>
      <w:r w:rsidRPr="0080008C">
        <w:rPr>
          <w:rFonts w:eastAsia="TimesNewRomanPSMT"/>
          <w:szCs w:val="24"/>
        </w:rPr>
        <w:t xml:space="preserve"> nustato viešosios informacijos rinkimo, rengimo, skelbimo ir platinimo tvarką, viešosios informacijos rengėjų, skleidėjų, jų dalyvių, žurnalistų ir jų veiklą reglamentuojančių institucijų teises, pareigas ir atsakomybę. </w:t>
      </w:r>
      <w:proofErr w:type="spellStart"/>
      <w:r w:rsidRPr="0080008C">
        <w:rPr>
          <w:rFonts w:eastAsia="TimesNewRomanPSMT"/>
          <w:szCs w:val="24"/>
        </w:rPr>
        <w:t>Sistemiškai</w:t>
      </w:r>
      <w:proofErr w:type="spellEnd"/>
      <w:r w:rsidRPr="0080008C">
        <w:rPr>
          <w:rFonts w:eastAsia="TimesNewRomanPSMT"/>
          <w:szCs w:val="24"/>
        </w:rPr>
        <w:t xml:space="preserve"> aiškinant </w:t>
      </w:r>
      <w:r>
        <w:rPr>
          <w:rFonts w:eastAsia="TimesNewRomanPSMT"/>
          <w:szCs w:val="24"/>
        </w:rPr>
        <w:t>šio į</w:t>
      </w:r>
      <w:r w:rsidRPr="0080008C">
        <w:rPr>
          <w:rFonts w:eastAsia="TimesNewRomanPSMT"/>
          <w:szCs w:val="24"/>
        </w:rPr>
        <w:t>statymo nuostatas, reglamentuojančias Lietuvos radijo ir televizijos komisijos bei Žurnalistų etikos inspektoriaus tarnybos kaip institucijų, vykdančių viešosios informacijos turinio priežiūrą bei žmogaus teisių pažeidimų atvejų visuomenės informavimo srityje nagrinėjimo veiklą, pasikartoja aspektas, numatantis draudimą visuomenės informavimo priemonėse skelbti viešą informaciją</w:t>
      </w:r>
      <w:r>
        <w:rPr>
          <w:rFonts w:eastAsia="TimesNewRomanPSMT"/>
          <w:szCs w:val="24"/>
        </w:rPr>
        <w:t xml:space="preserve">, </w:t>
      </w:r>
      <w:r w:rsidRPr="0080008C">
        <w:rPr>
          <w:rFonts w:eastAsia="TimesNewRomanPSMT"/>
          <w:szCs w:val="24"/>
        </w:rPr>
        <w:t xml:space="preserve"> skatinančią nesantaiką dėl </w:t>
      </w:r>
      <w:r w:rsidRPr="007F4CB2">
        <w:rPr>
          <w:rFonts w:eastAsia="TimesNewRomanPSMT"/>
          <w:szCs w:val="24"/>
        </w:rPr>
        <w:t>lyties, seksualinės orientacijos, rasės, tautybės, kalbos, kilmės, socialinės padėties, tikėjimo, įsitikinimų ar pažiūrų. Be to, sąvoka „žmogus“, kurio atžvilgiu Įstatymas nustato draudimą platinti dezinformaciją ir informaciją, šmeižiančią ir įžeidžiančią jį, yra tautos sudedamoji dalis, todėl jei pažeidžiamos žmogaus teisės dėl tautybės, pažeidžiamos ir visos tautos teisės.</w:t>
      </w:r>
    </w:p>
    <w:p w:rsidR="00507CF3" w:rsidRDefault="00507CF3" w:rsidP="003E0B14">
      <w:pPr>
        <w:autoSpaceDE w:val="0"/>
        <w:autoSpaceDN w:val="0"/>
        <w:adjustRightInd w:val="0"/>
        <w:spacing w:line="276" w:lineRule="auto"/>
        <w:rPr>
          <w:rFonts w:eastAsia="TimesNewRomanPSMT"/>
          <w:szCs w:val="24"/>
        </w:rPr>
      </w:pPr>
      <w:r w:rsidRPr="007F4CB2">
        <w:rPr>
          <w:rFonts w:eastAsia="TimesNewRomanPSMT"/>
          <w:szCs w:val="24"/>
        </w:rPr>
        <w:t xml:space="preserve">2. </w:t>
      </w:r>
      <w:r>
        <w:rPr>
          <w:rFonts w:eastAsia="TimesNewRomanPSMT"/>
          <w:szCs w:val="24"/>
        </w:rPr>
        <w:t>Pareiškėjo pateiktas pasiūlymas</w:t>
      </w:r>
      <w:r w:rsidRPr="007F4CB2">
        <w:rPr>
          <w:rFonts w:eastAsia="TimesNewRomanPSMT"/>
          <w:szCs w:val="24"/>
        </w:rPr>
        <w:t xml:space="preserve"> </w:t>
      </w:r>
      <w:r>
        <w:rPr>
          <w:rFonts w:eastAsia="TimesNewRomanPSMT"/>
          <w:szCs w:val="24"/>
        </w:rPr>
        <w:t xml:space="preserve">pakeisti </w:t>
      </w:r>
      <w:r w:rsidRPr="00BF7784">
        <w:rPr>
          <w:rFonts w:eastAsia="TimesNewRomanPSMT"/>
          <w:szCs w:val="24"/>
        </w:rPr>
        <w:t xml:space="preserve">Lietuvos Respublikos Aukščiausiosios Tarybos 1991 m. gruodžio 20 d. </w:t>
      </w:r>
      <w:r>
        <w:rPr>
          <w:rFonts w:eastAsia="TimesNewRomanPSMT"/>
          <w:szCs w:val="24"/>
        </w:rPr>
        <w:t>nutarimą</w:t>
      </w:r>
      <w:r w:rsidRPr="00BF7784">
        <w:rPr>
          <w:rFonts w:eastAsia="TimesNewRomanPSMT"/>
          <w:szCs w:val="24"/>
        </w:rPr>
        <w:t xml:space="preserve"> Nr. I-2132 „Dėl Gruzijos Respublikos nepriklausomybės pripažinimo“ </w:t>
      </w:r>
      <w:r w:rsidRPr="007F4CB2">
        <w:rPr>
          <w:rFonts w:eastAsia="TimesNewRomanPSMT"/>
          <w:szCs w:val="24"/>
        </w:rPr>
        <w:t>prieštarauja nacionaliniams Lietuvos Respublikos interesams ir tarptautinės teisės normoms.</w:t>
      </w:r>
    </w:p>
    <w:p w:rsidR="00507CF3" w:rsidRPr="007F4CB2" w:rsidRDefault="00507CF3" w:rsidP="003E0B14">
      <w:pPr>
        <w:autoSpaceDE w:val="0"/>
        <w:autoSpaceDN w:val="0"/>
        <w:adjustRightInd w:val="0"/>
        <w:spacing w:line="276" w:lineRule="auto"/>
        <w:rPr>
          <w:rFonts w:eastAsia="TimesNewRomanPSMT"/>
          <w:szCs w:val="24"/>
        </w:rPr>
      </w:pPr>
      <w:r w:rsidRPr="007F4CB2">
        <w:rPr>
          <w:rFonts w:eastAsia="TimesNewRomanPSMT"/>
          <w:szCs w:val="24"/>
        </w:rPr>
        <w:t xml:space="preserve">Lietuvos Respublika remia Gruzijos suverenitetą ir teritorinį vientisumą tarptautinės bendruomenės pripažįstamų sienų ribose. Lietuvos Respublika nepripažįsta Abchazijos ir </w:t>
      </w:r>
      <w:proofErr w:type="spellStart"/>
      <w:r w:rsidRPr="007F4CB2">
        <w:rPr>
          <w:rFonts w:eastAsia="TimesNewRomanPSMT"/>
          <w:szCs w:val="24"/>
        </w:rPr>
        <w:t>Cchinvalio</w:t>
      </w:r>
      <w:proofErr w:type="spellEnd"/>
      <w:r w:rsidRPr="007F4CB2">
        <w:rPr>
          <w:rFonts w:eastAsia="TimesNewRomanPSMT"/>
          <w:szCs w:val="24"/>
        </w:rPr>
        <w:t xml:space="preserve"> (Pietų Osetijos) regionų kaip „nepriklausomų valstybių” ir laiko juos okupuotomis Gruzijos teritorijomis. </w:t>
      </w:r>
    </w:p>
    <w:p w:rsidR="003A77C2" w:rsidRPr="00637D66" w:rsidRDefault="00507CF3" w:rsidP="003E0B14">
      <w:pPr>
        <w:spacing w:line="276" w:lineRule="auto"/>
        <w:rPr>
          <w:szCs w:val="24"/>
        </w:rPr>
      </w:pPr>
      <w:r>
        <w:t xml:space="preserve">2. </w:t>
      </w:r>
      <w:r w:rsidR="003A77C2">
        <w:t xml:space="preserve">Komisija </w:t>
      </w:r>
      <w:r w:rsidR="003A77C2" w:rsidRPr="00DB4998">
        <w:rPr>
          <w:szCs w:val="24"/>
        </w:rPr>
        <w:t xml:space="preserve">priėmė sprendimą </w:t>
      </w:r>
      <w:r w:rsidR="003A77C2">
        <w:rPr>
          <w:szCs w:val="24"/>
        </w:rPr>
        <w:t>atmesti Anatolijaus Lapinsko peticijoje</w:t>
      </w:r>
      <w:r w:rsidR="003A77C2" w:rsidRPr="00DB4998">
        <w:rPr>
          <w:bCs/>
          <w:szCs w:val="24"/>
        </w:rPr>
        <w:t xml:space="preserve"> </w:t>
      </w:r>
      <w:r w:rsidR="003A77C2">
        <w:rPr>
          <w:bCs/>
          <w:szCs w:val="24"/>
        </w:rPr>
        <w:t>„</w:t>
      </w:r>
      <w:r w:rsidR="003A77C2">
        <w:rPr>
          <w:szCs w:val="24"/>
        </w:rPr>
        <w:t>Dėl Pensijų reformos sistemos įstatymo pripažinimo netekusiu galios“</w:t>
      </w:r>
      <w:r w:rsidR="003A77C2" w:rsidRPr="00DB4998">
        <w:rPr>
          <w:szCs w:val="24"/>
        </w:rPr>
        <w:t xml:space="preserve"> pateiktą pasiūlymą </w:t>
      </w:r>
      <w:r w:rsidR="003A77C2" w:rsidRPr="00637D66">
        <w:rPr>
          <w:bCs/>
          <w:szCs w:val="24"/>
        </w:rPr>
        <w:t xml:space="preserve">pripažinti </w:t>
      </w:r>
      <w:r w:rsidR="003A77C2">
        <w:rPr>
          <w:bCs/>
          <w:szCs w:val="24"/>
        </w:rPr>
        <w:t>Lietuvos Respublikos p</w:t>
      </w:r>
      <w:r w:rsidR="003A77C2" w:rsidRPr="00637D66">
        <w:rPr>
          <w:bCs/>
          <w:szCs w:val="24"/>
        </w:rPr>
        <w:t>ensijų sistemos reformos įstatymą netekusiu galios</w:t>
      </w:r>
      <w:r w:rsidR="003A77C2">
        <w:rPr>
          <w:bCs/>
          <w:szCs w:val="24"/>
        </w:rPr>
        <w:t>.</w:t>
      </w:r>
    </w:p>
    <w:p w:rsidR="003A77C2" w:rsidRPr="001B47C2" w:rsidRDefault="003A77C2" w:rsidP="003E0B14">
      <w:pPr>
        <w:autoSpaceDE w:val="0"/>
        <w:autoSpaceDN w:val="0"/>
        <w:adjustRightInd w:val="0"/>
        <w:spacing w:line="276" w:lineRule="auto"/>
        <w:rPr>
          <w:szCs w:val="24"/>
        </w:rPr>
      </w:pPr>
      <w:r w:rsidRPr="001B47C2">
        <w:rPr>
          <w:color w:val="000000"/>
          <w:szCs w:val="24"/>
        </w:rPr>
        <w:t xml:space="preserve">Komisija šį sprendimą priėmė, atsižvelgusi į </w:t>
      </w:r>
      <w:r w:rsidRPr="001B47C2">
        <w:rPr>
          <w:szCs w:val="24"/>
        </w:rPr>
        <w:t>Lietuvos Respublikos finansų ministerijos, Lietuvos Respublikos socialinės apsaugos ir darbo ministerijos, taip pat Seimo Socialinių reikalų ir darbo komiteto pateiktas nuomones ir dėl šių motyvų:</w:t>
      </w:r>
    </w:p>
    <w:p w:rsidR="003A77C2" w:rsidRDefault="003A77C2" w:rsidP="003E0B14">
      <w:pPr>
        <w:tabs>
          <w:tab w:val="left" w:pos="3828"/>
        </w:tabs>
        <w:spacing w:line="276" w:lineRule="auto"/>
        <w:ind w:firstLine="567"/>
        <w:rPr>
          <w:szCs w:val="24"/>
        </w:rPr>
      </w:pPr>
      <w:r w:rsidRPr="001B47C2">
        <w:rPr>
          <w:szCs w:val="24"/>
        </w:rPr>
        <w:t xml:space="preserve">1. Nuo 2004 m. sausio 1 d. nustatyta galimybė dalį „Sodros“ įmokos kaupti privačiame pensijų fonde įstatymo buvo numatyta, siekiant dvejopo tikslo. </w:t>
      </w:r>
      <w:r>
        <w:rPr>
          <w:szCs w:val="24"/>
        </w:rPr>
        <w:t>V</w:t>
      </w:r>
      <w:r w:rsidRPr="001B47C2">
        <w:rPr>
          <w:szCs w:val="24"/>
        </w:rPr>
        <w:t>ienas iš reformos tikslų – ilgalaikėje perspektyvoje diversifikuoti pensijos mokėjimo šal</w:t>
      </w:r>
      <w:r>
        <w:rPr>
          <w:szCs w:val="24"/>
        </w:rPr>
        <w:t xml:space="preserve">tinį pensijų kaupimo dalyviams, </w:t>
      </w:r>
      <w:r w:rsidRPr="001B47C2">
        <w:rPr>
          <w:szCs w:val="24"/>
        </w:rPr>
        <w:t>t.</w:t>
      </w:r>
      <w:r>
        <w:rPr>
          <w:szCs w:val="24"/>
        </w:rPr>
        <w:t xml:space="preserve"> </w:t>
      </w:r>
      <w:r w:rsidRPr="001B47C2">
        <w:rPr>
          <w:szCs w:val="24"/>
        </w:rPr>
        <w:t>y. sudaryti prielaidas, kad ateities pensininkams pensija būtų mokama iš dviejų šaltinių – „Sodros“</w:t>
      </w:r>
      <w:r>
        <w:rPr>
          <w:szCs w:val="24"/>
        </w:rPr>
        <w:t xml:space="preserve"> ir pensijų fonde sukauptų lėšų</w:t>
      </w:r>
      <w:r w:rsidRPr="001B47C2">
        <w:rPr>
          <w:szCs w:val="24"/>
        </w:rPr>
        <w:t xml:space="preserve">, taip mažinant neigiamą senėjančios visuomenės poveikį pensijų sistemai, kai dėl demografinių veiksnių pablogės pensijų gavėjų ir įmokų mokėtojų santykis ir vienas įmokų mokėtojas turės mokėti daugiau socialinio draudimo įmokų, kad jų pakaktų didesniam pensijų gavėjų skaičiui finansuoti. Be to, teisės aktai nustato, kad pensijų kaupimo dalyviams sukakus senatvės pensijos amžių, „Sodros“ pensijos papildoma dalis mažės už laikotarpius, kai asmuo dalyvavo pensijų kaupime, o tai ilgalaikėje perspektyvoje leis mažinti „Sodros“ išlaidas pensijoms, taigi mažins pensijų sistemai teksiantį finansinį spaudimą. </w:t>
      </w:r>
    </w:p>
    <w:p w:rsidR="003A77C2" w:rsidRPr="001B47C2" w:rsidRDefault="003A77C2" w:rsidP="003E0B14">
      <w:pPr>
        <w:tabs>
          <w:tab w:val="left" w:pos="3828"/>
        </w:tabs>
        <w:spacing w:line="276" w:lineRule="auto"/>
        <w:ind w:firstLine="567"/>
        <w:rPr>
          <w:szCs w:val="24"/>
        </w:rPr>
      </w:pPr>
      <w:r>
        <w:rPr>
          <w:szCs w:val="24"/>
        </w:rPr>
        <w:lastRenderedPageBreak/>
        <w:t>K</w:t>
      </w:r>
      <w:r w:rsidRPr="001B47C2">
        <w:rPr>
          <w:szCs w:val="24"/>
        </w:rPr>
        <w:t>artų solidarumo principas, kuriuo grindžiama socialinio draudimo sistema, reikalauja derinti visų kartų interesus, t.</w:t>
      </w:r>
      <w:r>
        <w:rPr>
          <w:szCs w:val="24"/>
        </w:rPr>
        <w:t xml:space="preserve"> y. </w:t>
      </w:r>
      <w:r w:rsidRPr="001B47C2">
        <w:rPr>
          <w:szCs w:val="24"/>
        </w:rPr>
        <w:t>užtikrinti lėšas, reikalingas dabartinių pensijų gavėjų pensijoms mokėti, ir garantuoti, kad dabartiniai įmokų mokėtojai, kurie, mokėdami socialinio draudimo įmokas, teisę gauti pensijas įgis ateityje, gaus išmokas, atitinkančias įmokėtų įmokų mastą, t.</w:t>
      </w:r>
      <w:r>
        <w:rPr>
          <w:szCs w:val="24"/>
        </w:rPr>
        <w:t xml:space="preserve"> </w:t>
      </w:r>
      <w:r w:rsidRPr="001B47C2">
        <w:rPr>
          <w:szCs w:val="24"/>
        </w:rPr>
        <w:t>y. ne mažesnio lygio, negu dabartinė pensijų gavėjų karta. Iš kartų solidarumo principo išplaukia įstatymo leidėjui keliamas imperatyvas imtis visų pri</w:t>
      </w:r>
      <w:r>
        <w:rPr>
          <w:szCs w:val="24"/>
        </w:rPr>
        <w:t xml:space="preserve">emonių, būtinų šiai dabartinių </w:t>
      </w:r>
      <w:r w:rsidRPr="001B47C2">
        <w:rPr>
          <w:szCs w:val="24"/>
        </w:rPr>
        <w:t>pensininkų įgyt</w:t>
      </w:r>
      <w:r>
        <w:rPr>
          <w:szCs w:val="24"/>
        </w:rPr>
        <w:t>ų ir ateities pensininkų įgysiančių</w:t>
      </w:r>
      <w:r w:rsidRPr="001B47C2">
        <w:rPr>
          <w:szCs w:val="24"/>
        </w:rPr>
        <w:t xml:space="preserve"> teisių pusiausvyrai išlaikyti. Remiantis Eurostato prognozėmis Lietuvai, apie 2041 metus, Lietuvos populiacijai esant 1,98 mln. žmonių, vienam pensinio amžiaus asmeniui teks vos </w:t>
      </w:r>
      <w:r>
        <w:rPr>
          <w:szCs w:val="24"/>
        </w:rPr>
        <w:t>1,795 darbingo amžiaus žmogaus. Š</w:t>
      </w:r>
      <w:r w:rsidRPr="001B47C2">
        <w:rPr>
          <w:szCs w:val="24"/>
        </w:rPr>
        <w:t xml:space="preserve">iuo laikotarpiu pensijos jau bus skiriamos tiems dalyviams, kurie nuo 2004 metų dalyvavo pensijų kaupime. Kadangi šiems asmenims pensijos bus mažinamos už visą dalyvavimo pensijų kaupime laikotarpį ir didžioji dalis pensinį amžių sukankančių asmenų bus dalyvavę pensijų kaupime, Sodros biudžetui dėl nepalankios demografinės situacijos tenkanti našta mažės. </w:t>
      </w:r>
    </w:p>
    <w:p w:rsidR="003A77C2" w:rsidRDefault="003A77C2" w:rsidP="003E0B14">
      <w:pPr>
        <w:tabs>
          <w:tab w:val="left" w:pos="3828"/>
        </w:tabs>
        <w:spacing w:line="276" w:lineRule="auto"/>
        <w:ind w:firstLine="567"/>
        <w:rPr>
          <w:szCs w:val="24"/>
        </w:rPr>
      </w:pPr>
      <w:r>
        <w:rPr>
          <w:szCs w:val="24"/>
        </w:rPr>
        <w:t>Pareiškėjo</w:t>
      </w:r>
      <w:r w:rsidRPr="001B47C2">
        <w:rPr>
          <w:szCs w:val="24"/>
        </w:rPr>
        <w:t xml:space="preserve"> siūlymas pripažinti Pensijų sistemos reformos įstatymą netekusiu galios iš esmės pažeidžia kartų solidarumo principą, nes į privilegijuotąją padėtį iškeliami esami pensijų gavėjai, iš esmės paneigiant būsimųjų pensijų gavėjų lūkestį gauti ne mažesnio lygio pensijas negu dabartinių pensijų gavėjų kartos pensijos.</w:t>
      </w:r>
    </w:p>
    <w:p w:rsidR="003A77C2" w:rsidRDefault="003A77C2" w:rsidP="003E0B14">
      <w:pPr>
        <w:tabs>
          <w:tab w:val="left" w:pos="3828"/>
        </w:tabs>
        <w:spacing w:line="276" w:lineRule="auto"/>
        <w:ind w:firstLine="567"/>
        <w:rPr>
          <w:szCs w:val="24"/>
        </w:rPr>
      </w:pPr>
      <w:r w:rsidRPr="001B47C2">
        <w:rPr>
          <w:szCs w:val="24"/>
        </w:rPr>
        <w:t xml:space="preserve">2. Lietuvos Respublikos Konstitucinis Teismas 2012 m. birželio 29 d. nutarimu „Dėl Lietuvos Respublikos pensijų sistemos reformos įstatymo, jo pakeitimo ir papildymo įstatymų nuostatų Lietuvos Respublikos Konstitucijai“ yra konstatavęs, kad valstybėje esant itin sunkiai ekonominei, finansinei padėčiai ir dėl to, siekiant užtikrinti gyvybiškai svarbius visuomenės ir valstybės interesus, apsaugoti kitas konstitucines vertybes, iškilus būtinybei laikinai sumažinti į specialius pensijų fondus pervedamą senatvės pensijai ar jos daliai kaupti skirtą lėšų dalį, </w:t>
      </w:r>
      <w:r w:rsidRPr="001B47C2">
        <w:rPr>
          <w:i/>
          <w:szCs w:val="24"/>
        </w:rPr>
        <w:t xml:space="preserve">įstatymų leidėjas gali nustatyti tik tokį mažinimo mastą, koks yra būtinas minėtiems tikslams pasiekti ir kuriuo nebūtų paneigiama tokios kaupiamosios pensijos esmė. </w:t>
      </w:r>
      <w:r w:rsidRPr="001B47C2">
        <w:rPr>
          <w:szCs w:val="24"/>
        </w:rPr>
        <w:t xml:space="preserve">Įstatymų leidėjas, dėl ypatingų aplinkybių (ekonomikos krizės ir kt.) valstybėje susidarius itin sunkiai ekonominei, finansinei padėčiai, nusprendęs pertvarkyti senatvės pensijų sistemą taip, kad joms skirtų lėšų surinkimo ir pensijų mokėjimo teisinis reguliavimas būtų iš esmės pakeistas, taip, kad senatvės pensijai ar jos daliai skirtos lėšos nebebūtų kaupiamos specialiuose pensijų fonduose, privalo siekti, kad pensijų sistemos dalyviai nepatirtų praradimų. Jeigu pertvarkant senatvės pensijų sistemą jos dalyvių praradimai, ypač kai jie esminiai, būtų neišvengiami, įstatymų leidėjas turėtų nustatyti teisingą jų kompensavimą. Konstitucinis Teismas pažymi, kad asmenys, pagal įstatymą įgiję tam tikras teises, turi teisę pagrįstai tikėtis, kad šios teisės nustatytą laiką bus išlaikytos ir įgyvendinamos. Konstitucinis Teismas taip pat ne kartą yra konstatavęs, kad neatsiejami teisinės valstybės principo elementai yra teisėtų lūkesčių apsauga, teisinis tikrumas ir teisinis saugumas; konstituciniai teisėtų lūkesčių apsaugos, teisinio tikrumo, teisinio saugumo principai suponuoja valstybės pareigą užtikrinti teisinio reguliavimo tikrumą ir stabilumą, apsaugoti asmenų teises, gerbti teisėtus interesus ir teisėtus lūkesčius; šie principai suponuoja ir tai, kad valstybė privalo vykdyti prisiimtus įsipareigojimus asmeniui; neužtikrinus asmens teisėtų lūkesčių apsaugos, teisinio tikrumo ir teisinio saugumo, nebūtų užtikrintas asmens pasitikėjimas valstybe ir teise </w:t>
      </w:r>
      <w:r>
        <w:rPr>
          <w:szCs w:val="24"/>
        </w:rPr>
        <w:t>(</w:t>
      </w:r>
      <w:r w:rsidRPr="001B47C2">
        <w:rPr>
          <w:szCs w:val="24"/>
        </w:rPr>
        <w:t xml:space="preserve">Konstitucinio Teismo 2012 m. vasario 6 d. nutarimas). </w:t>
      </w:r>
    </w:p>
    <w:p w:rsidR="003A77C2" w:rsidRDefault="003A77C2" w:rsidP="003E0B14">
      <w:pPr>
        <w:tabs>
          <w:tab w:val="left" w:pos="3828"/>
        </w:tabs>
        <w:spacing w:line="276" w:lineRule="auto"/>
        <w:ind w:firstLine="567"/>
        <w:rPr>
          <w:szCs w:val="24"/>
        </w:rPr>
      </w:pPr>
      <w:r>
        <w:rPr>
          <w:szCs w:val="24"/>
        </w:rPr>
        <w:t>Atsižvelgiant</w:t>
      </w:r>
      <w:r w:rsidRPr="001B47C2">
        <w:rPr>
          <w:szCs w:val="24"/>
        </w:rPr>
        <w:t xml:space="preserve"> į </w:t>
      </w:r>
      <w:r>
        <w:rPr>
          <w:szCs w:val="24"/>
        </w:rPr>
        <w:t>tai,</w:t>
      </w:r>
      <w:r w:rsidRPr="001B47C2">
        <w:rPr>
          <w:szCs w:val="24"/>
        </w:rPr>
        <w:t xml:space="preserve"> pareiškėjo siūlymas </w:t>
      </w:r>
      <w:r w:rsidRPr="00AB1711">
        <w:rPr>
          <w:szCs w:val="24"/>
        </w:rPr>
        <w:t>paneigtų p</w:t>
      </w:r>
      <w:r>
        <w:rPr>
          <w:szCs w:val="24"/>
        </w:rPr>
        <w:t>ačią kaupiamosios pensijos esmę ir</w:t>
      </w:r>
      <w:r w:rsidRPr="00AB1711">
        <w:rPr>
          <w:szCs w:val="24"/>
        </w:rPr>
        <w:t xml:space="preserve"> iš esmės prieštarautų Konstitucinio Teismo suformuluotai oficialiajai k</w:t>
      </w:r>
      <w:r>
        <w:rPr>
          <w:szCs w:val="24"/>
        </w:rPr>
        <w:t xml:space="preserve">onstitucinei doktrinai. </w:t>
      </w:r>
    </w:p>
    <w:p w:rsidR="003A77C2" w:rsidRPr="00AB1711" w:rsidRDefault="003A77C2" w:rsidP="003E0B14">
      <w:pPr>
        <w:tabs>
          <w:tab w:val="left" w:pos="3828"/>
        </w:tabs>
        <w:spacing w:line="276" w:lineRule="auto"/>
        <w:ind w:firstLine="567"/>
        <w:rPr>
          <w:szCs w:val="24"/>
        </w:rPr>
      </w:pPr>
      <w:r>
        <w:rPr>
          <w:szCs w:val="24"/>
        </w:rPr>
        <w:t>Taip pat</w:t>
      </w:r>
      <w:r w:rsidRPr="00AB1711">
        <w:rPr>
          <w:szCs w:val="24"/>
        </w:rPr>
        <w:t xml:space="preserve"> valstybei atsirastų prievolė kompensuoti pensijų kaupimo dalyvių patirtus praradimus. </w:t>
      </w:r>
    </w:p>
    <w:p w:rsidR="003A77C2" w:rsidRPr="00AB1711" w:rsidRDefault="003A77C2" w:rsidP="003E0B14">
      <w:pPr>
        <w:autoSpaceDE w:val="0"/>
        <w:autoSpaceDN w:val="0"/>
        <w:adjustRightInd w:val="0"/>
        <w:spacing w:line="276" w:lineRule="auto"/>
        <w:rPr>
          <w:rFonts w:eastAsia="TimesNewRomanPSMT"/>
          <w:szCs w:val="24"/>
        </w:rPr>
      </w:pPr>
      <w:r w:rsidRPr="00AB1711">
        <w:rPr>
          <w:rFonts w:eastAsia="TimesNewRomanPSMT"/>
          <w:szCs w:val="24"/>
        </w:rPr>
        <w:lastRenderedPageBreak/>
        <w:t>Iš viso valstybinio socialinio draudimo įmokoms, pervedamoms į pensijų fondus, kompensuoti 2004-2013 metais iš Rezervinio (stabilizavimo) fondo jau buvo skirta daugiau nei 0,9 mlrd. eurų.</w:t>
      </w:r>
    </w:p>
    <w:p w:rsidR="003A77C2" w:rsidRPr="00AB1711" w:rsidRDefault="003A77C2" w:rsidP="003E0B14">
      <w:pPr>
        <w:autoSpaceDE w:val="0"/>
        <w:autoSpaceDN w:val="0"/>
        <w:adjustRightInd w:val="0"/>
        <w:spacing w:line="276" w:lineRule="auto"/>
        <w:rPr>
          <w:rFonts w:eastAsia="TimesNewRomanPSMT"/>
          <w:szCs w:val="24"/>
        </w:rPr>
      </w:pPr>
      <w:r w:rsidRPr="00AB1711">
        <w:rPr>
          <w:rFonts w:eastAsia="TimesNewRomanPSMT"/>
          <w:szCs w:val="24"/>
        </w:rPr>
        <w:t>Vadovaujantis Lietuvos Respublikos pensijų sistemos reformos įstatymu, nuo 2014 m. sausio 1 d. iš valstybės biudžeto numatyta skirti lėšų skatinamosioms įmo</w:t>
      </w:r>
      <w:r>
        <w:rPr>
          <w:rFonts w:eastAsia="TimesNewRomanPSMT"/>
          <w:szCs w:val="24"/>
        </w:rPr>
        <w:t xml:space="preserve">koms į pensijų fondus padengti 2014 m. – 26,1 mln. </w:t>
      </w:r>
      <w:proofErr w:type="spellStart"/>
      <w:r>
        <w:rPr>
          <w:rFonts w:eastAsia="TimesNewRomanPSMT"/>
          <w:szCs w:val="24"/>
        </w:rPr>
        <w:t>Eur</w:t>
      </w:r>
      <w:proofErr w:type="spellEnd"/>
      <w:r>
        <w:rPr>
          <w:rFonts w:eastAsia="TimesNewRomanPSMT"/>
          <w:szCs w:val="24"/>
        </w:rPr>
        <w:t xml:space="preserve">, 2015 m. – 36,2 mln. </w:t>
      </w:r>
      <w:proofErr w:type="spellStart"/>
      <w:r>
        <w:rPr>
          <w:rFonts w:eastAsia="TimesNewRomanPSMT"/>
          <w:szCs w:val="24"/>
        </w:rPr>
        <w:t>Eur</w:t>
      </w:r>
      <w:proofErr w:type="spellEnd"/>
      <w:r>
        <w:rPr>
          <w:rFonts w:eastAsia="TimesNewRomanPSMT"/>
          <w:szCs w:val="24"/>
        </w:rPr>
        <w:t xml:space="preserve">, 2016 m. – 69,5 mln. </w:t>
      </w:r>
      <w:proofErr w:type="spellStart"/>
      <w:r>
        <w:rPr>
          <w:rFonts w:eastAsia="TimesNewRomanPSMT"/>
          <w:szCs w:val="24"/>
        </w:rPr>
        <w:t>Eur</w:t>
      </w:r>
      <w:proofErr w:type="spellEnd"/>
      <w:r w:rsidRPr="00AB1711">
        <w:rPr>
          <w:rFonts w:eastAsia="TimesNewRomanPSMT"/>
          <w:szCs w:val="24"/>
        </w:rPr>
        <w:t>. Valstybinio socialinio draudimo fondo biudžete tvirtinamos valstybinio socialinio draudimo įmokų dalies lėšo</w:t>
      </w:r>
      <w:r>
        <w:rPr>
          <w:rFonts w:eastAsia="TimesNewRomanPSMT"/>
          <w:szCs w:val="24"/>
        </w:rPr>
        <w:t xml:space="preserve">s, pervedamos į pensijų fondus 2014 m. – 131,6 mln. </w:t>
      </w:r>
      <w:proofErr w:type="spellStart"/>
      <w:r>
        <w:rPr>
          <w:rFonts w:eastAsia="TimesNewRomanPSMT"/>
          <w:szCs w:val="24"/>
        </w:rPr>
        <w:t>Eur</w:t>
      </w:r>
      <w:proofErr w:type="spellEnd"/>
      <w:r>
        <w:rPr>
          <w:rFonts w:eastAsia="TimesNewRomanPSMT"/>
          <w:szCs w:val="24"/>
        </w:rPr>
        <w:t xml:space="preserve">, 2015 m. – 142,5 mln. </w:t>
      </w:r>
      <w:proofErr w:type="spellStart"/>
      <w:r>
        <w:rPr>
          <w:rFonts w:eastAsia="TimesNewRomanPSMT"/>
          <w:szCs w:val="24"/>
        </w:rPr>
        <w:t>Eur</w:t>
      </w:r>
      <w:proofErr w:type="spellEnd"/>
      <w:r>
        <w:rPr>
          <w:rFonts w:eastAsia="TimesNewRomanPSMT"/>
          <w:szCs w:val="24"/>
        </w:rPr>
        <w:t xml:space="preserve">, 2016 m. –153,8,5 mln. </w:t>
      </w:r>
      <w:proofErr w:type="spellStart"/>
      <w:r>
        <w:rPr>
          <w:rFonts w:eastAsia="TimesNewRomanPSMT"/>
          <w:szCs w:val="24"/>
        </w:rPr>
        <w:t>Eur</w:t>
      </w:r>
      <w:proofErr w:type="spellEnd"/>
      <w:r w:rsidRPr="00AB1711">
        <w:rPr>
          <w:rFonts w:eastAsia="TimesNewRomanPSMT"/>
          <w:szCs w:val="24"/>
        </w:rPr>
        <w:t>.</w:t>
      </w:r>
    </w:p>
    <w:p w:rsidR="00142834" w:rsidRPr="00DB4998" w:rsidRDefault="00142834" w:rsidP="003E0B14">
      <w:pPr>
        <w:autoSpaceDE w:val="0"/>
        <w:autoSpaceDN w:val="0"/>
        <w:adjustRightInd w:val="0"/>
        <w:spacing w:line="276" w:lineRule="auto"/>
        <w:rPr>
          <w:szCs w:val="24"/>
        </w:rPr>
      </w:pPr>
      <w:r>
        <w:t xml:space="preserve">3. Komisija </w:t>
      </w:r>
      <w:r w:rsidRPr="00DB4998">
        <w:rPr>
          <w:szCs w:val="24"/>
        </w:rPr>
        <w:t>priėmė sprendimą atmesti Dariaus Bučo</w:t>
      </w:r>
      <w:r>
        <w:rPr>
          <w:szCs w:val="24"/>
        </w:rPr>
        <w:t xml:space="preserve"> peticijoje</w:t>
      </w:r>
      <w:r w:rsidRPr="00DB4998">
        <w:rPr>
          <w:bCs/>
          <w:szCs w:val="24"/>
        </w:rPr>
        <w:t xml:space="preserve"> </w:t>
      </w:r>
      <w:r w:rsidRPr="00DB4998">
        <w:rPr>
          <w:szCs w:val="24"/>
        </w:rPr>
        <w:t>„Dėl Lietuvos Respublikos bausmių vykdymo kodekso papildymo 157</w:t>
      </w:r>
      <w:r w:rsidRPr="00DB4998">
        <w:rPr>
          <w:szCs w:val="24"/>
          <w:vertAlign w:val="superscript"/>
        </w:rPr>
        <w:t>1</w:t>
      </w:r>
      <w:r w:rsidRPr="00DB4998">
        <w:rPr>
          <w:szCs w:val="24"/>
        </w:rPr>
        <w:t xml:space="preserve"> straipsniu“ pateiktą pasiūlymą papildyti Lietuvos Respublikos bausmių vykdymo kodeksą nauju 157</w:t>
      </w:r>
      <w:r w:rsidRPr="00DB4998">
        <w:rPr>
          <w:szCs w:val="24"/>
          <w:vertAlign w:val="superscript"/>
        </w:rPr>
        <w:t>1</w:t>
      </w:r>
      <w:r w:rsidRPr="00DB4998">
        <w:rPr>
          <w:szCs w:val="24"/>
        </w:rPr>
        <w:t xml:space="preserve"> straipsniu, kuriame būtų numatytas lygtinis paleidimas už užstatą.</w:t>
      </w:r>
    </w:p>
    <w:p w:rsidR="00142834" w:rsidRPr="00DB4998" w:rsidRDefault="00142834" w:rsidP="003E0B14">
      <w:pPr>
        <w:autoSpaceDE w:val="0"/>
        <w:autoSpaceDN w:val="0"/>
        <w:adjustRightInd w:val="0"/>
        <w:spacing w:line="276" w:lineRule="auto"/>
        <w:rPr>
          <w:szCs w:val="24"/>
        </w:rPr>
      </w:pPr>
      <w:r w:rsidRPr="00DB4998">
        <w:rPr>
          <w:color w:val="000000"/>
          <w:szCs w:val="24"/>
        </w:rPr>
        <w:t xml:space="preserve">Komisija šį sprendimą priėmė, atsižvelgusi į </w:t>
      </w:r>
      <w:r w:rsidRPr="00DB4998">
        <w:rPr>
          <w:szCs w:val="24"/>
        </w:rPr>
        <w:t xml:space="preserve">Lietuvos Respublikos </w:t>
      </w:r>
      <w:r>
        <w:rPr>
          <w:szCs w:val="24"/>
        </w:rPr>
        <w:t>t</w:t>
      </w:r>
      <w:r w:rsidRPr="00DB4998">
        <w:rPr>
          <w:szCs w:val="24"/>
        </w:rPr>
        <w:t>eisingumo ministerijos pateiktą nuomonę ir dėl šių motyvų:</w:t>
      </w:r>
    </w:p>
    <w:p w:rsidR="00142834" w:rsidRPr="00DB4998" w:rsidRDefault="00142834" w:rsidP="003E0B14">
      <w:pPr>
        <w:autoSpaceDE w:val="0"/>
        <w:autoSpaceDN w:val="0"/>
        <w:adjustRightInd w:val="0"/>
        <w:spacing w:line="276" w:lineRule="auto"/>
        <w:rPr>
          <w:rFonts w:eastAsia="TimesNewRomanPSMT"/>
          <w:szCs w:val="24"/>
        </w:rPr>
      </w:pPr>
      <w:r w:rsidRPr="00DB4998">
        <w:rPr>
          <w:rFonts w:eastAsia="TimesNewRomanPSMT"/>
          <w:szCs w:val="24"/>
        </w:rPr>
        <w:t xml:space="preserve">1. Pareiškėjas siūlo, kad nuteistiesiems lygtinis paleidimas iš pataisos įstaigos būtų taikomas, jei jie neturi nuobaudų ir yra sumokėję užstatą (po 3000 eurų už kiekvienus likusius neatliktos laisvės atėmimo bausmės metus). Pagal šį siūlymą lygtinio paleidimo taikymas iš esmės priklausytų tik nuo nuteistojo turtinės padėties, t. y. taikant lygtinį paleidimą iš pataisos įstaigų privilegijos būtų suteiktos piniginių lėšų turintiems nuteistiesiems. Tokio siūlymo įgyvendinimas, prieštarautų Lietuvos Respublikos bausmių vykdymo kodekso (toliau - BVK) 6 straipsnyje įtvirtintam nuteistųjų lygybės taikant bausmių vykdymo įstatymus principui, kuris numato, kad visi nuteistieji lygūs nepaisant jų kilmės, lyties, socialinės </w:t>
      </w:r>
      <w:r w:rsidRPr="00DB4998">
        <w:rPr>
          <w:rFonts w:eastAsia="TimesNewRomanPS-ItalicMT"/>
          <w:i/>
          <w:iCs/>
          <w:szCs w:val="24"/>
        </w:rPr>
        <w:t>ar turtinės padėties</w:t>
      </w:r>
      <w:r w:rsidRPr="00DB4998">
        <w:rPr>
          <w:rFonts w:eastAsia="TimesNewRomanPSMT"/>
          <w:szCs w:val="24"/>
        </w:rPr>
        <w:t>, tautybės ar rasės, politinių pažiūrų ir partiškumo, išsilavinimo, kalbos, religinių ar kitokių įsi</w:t>
      </w:r>
      <w:r>
        <w:rPr>
          <w:rFonts w:eastAsia="TimesNewRomanPSMT"/>
          <w:szCs w:val="24"/>
        </w:rPr>
        <w:t xml:space="preserve">tikinimų, genetinių savybių, </w:t>
      </w:r>
      <w:proofErr w:type="spellStart"/>
      <w:r>
        <w:rPr>
          <w:rFonts w:eastAsia="TimesNewRomanPSMT"/>
          <w:szCs w:val="24"/>
        </w:rPr>
        <w:t>neį</w:t>
      </w:r>
      <w:r w:rsidRPr="00DB4998">
        <w:rPr>
          <w:rFonts w:eastAsia="TimesNewRomanPSMT"/>
          <w:szCs w:val="24"/>
        </w:rPr>
        <w:t>galumo</w:t>
      </w:r>
      <w:proofErr w:type="spellEnd"/>
      <w:r w:rsidRPr="00DB4998">
        <w:rPr>
          <w:rFonts w:eastAsia="TimesNewRomanPSMT"/>
          <w:szCs w:val="24"/>
        </w:rPr>
        <w:t>, seksualinės orientacijos, veiklos rūšies ir pobūdžio, gyvenamosios vietos ir kitų nenumatytų Lietuvos Respublikos įstatymuose aplinkybių.</w:t>
      </w:r>
    </w:p>
    <w:p w:rsidR="00142834" w:rsidRPr="00DB4998" w:rsidRDefault="00142834" w:rsidP="003E0B14">
      <w:pPr>
        <w:autoSpaceDE w:val="0"/>
        <w:autoSpaceDN w:val="0"/>
        <w:adjustRightInd w:val="0"/>
        <w:spacing w:line="276" w:lineRule="auto"/>
        <w:rPr>
          <w:rFonts w:eastAsia="TimesNewRomanPSMT"/>
          <w:szCs w:val="24"/>
        </w:rPr>
      </w:pPr>
      <w:r w:rsidRPr="00DB4998">
        <w:rPr>
          <w:rFonts w:eastAsia="TimesNewRomanPSMT"/>
          <w:szCs w:val="24"/>
        </w:rPr>
        <w:t>2. BVK teisinis reguliavimas yra grindžiamas BVK 9 straipsnyje įtvirtintu teisingo ir progresyvaus bausmių atlikimo principu, pagal kurį nuteistojo teisinė padėtis tiesiogiai priklauso nuo to, kaip nuteistasis elgiasi bausmės atlikimo metu, ar vykdo nustatytus draudimus ir pareigas, koks yra jo požiūris į darbą bei mokymąsi, kaip jis reaguoja į psichologinį poveikį ir socialinės reabilitacijos priemones. Atsižvelgiant į tai, nuteistojo teisinė padėtis švelninama suteikiant papildomas teises, atsisakant tam tikrų apribojimų (pvz., taikant lygtinį paleidimą iš pataisos įstaigos nuteistasis toliau bausmę atlieka neizoliuotas nuo visuomenės, t.y. maksimaliai sumažėja suvaržymų), arba griežtinama, atimant tam tikras teises, nustatant papildomas pareigas, o taip pat netaikant jiems lygtinio paleidimo iš pataisos įstaigos. Taigi, atsižvelgiant į minėtą principą, nuteistasis turi dėti visas pastangas ir savo elgesiu įrodyti, kad yra vertas pasitikėjimo, o kartu ir būti perkeltas į lengvesnę grupę, kurioje įgytų daugiau teisių, o vėliau - ir būti lygtinai paleistas iš pataisos įstaigos. Tuo tarpu pareiškėjas, pateikdamas siūlymą, visiškai neatsižvelgė į minėtą bausmių vykdymo principą ir siūlo lygtinį paleidimą iš pataisos įstaigų taikyti tik esant formaliam pagrindui - sumokėjus užstatą, kuris visiškai neatspindi nuteistojo elgesio bausmės atlikimo metu ir pažangos mažinant nusikalstamo elgesio riziką.</w:t>
      </w:r>
    </w:p>
    <w:p w:rsidR="00142834" w:rsidRPr="00DB4998" w:rsidRDefault="00142834" w:rsidP="003E0B14">
      <w:pPr>
        <w:autoSpaceDE w:val="0"/>
        <w:autoSpaceDN w:val="0"/>
        <w:adjustRightInd w:val="0"/>
        <w:spacing w:line="276" w:lineRule="auto"/>
        <w:rPr>
          <w:rFonts w:eastAsia="TimesNewRomanPSMT"/>
          <w:szCs w:val="24"/>
        </w:rPr>
      </w:pPr>
      <w:r w:rsidRPr="00DB4998">
        <w:rPr>
          <w:rFonts w:eastAsia="TimesNewRomanPSMT"/>
          <w:szCs w:val="24"/>
        </w:rPr>
        <w:t xml:space="preserve">3. </w:t>
      </w:r>
      <w:r>
        <w:rPr>
          <w:rFonts w:eastAsia="TimesNewRomanPSMT"/>
          <w:szCs w:val="24"/>
        </w:rPr>
        <w:t xml:space="preserve">Užsienio valstybės </w:t>
      </w:r>
      <w:r w:rsidRPr="00DB4998">
        <w:rPr>
          <w:rFonts w:eastAsia="TimesNewRomanPSMT"/>
          <w:szCs w:val="24"/>
        </w:rPr>
        <w:t>taip pat laikosi progresyvios bausmių vykdymo politikos, pagal kurią ypatingas dėmesys yra skiriamas palaipsniui nuteistojo teisinės padėties švelninimui atsižvelgiant į jo padarytą socialinės reabilitacijos pažangą, o ne į jo turtinę padėtį.</w:t>
      </w:r>
    </w:p>
    <w:p w:rsidR="00142834" w:rsidRPr="00DB4998" w:rsidRDefault="00142834" w:rsidP="003E0B14">
      <w:pPr>
        <w:autoSpaceDE w:val="0"/>
        <w:autoSpaceDN w:val="0"/>
        <w:adjustRightInd w:val="0"/>
        <w:spacing w:line="276" w:lineRule="auto"/>
        <w:rPr>
          <w:rFonts w:eastAsia="TimesNewRomanPSMT"/>
          <w:szCs w:val="24"/>
        </w:rPr>
      </w:pPr>
      <w:r w:rsidRPr="00DB4998">
        <w:rPr>
          <w:rFonts w:eastAsia="TimesNewRomanPSMT"/>
          <w:szCs w:val="24"/>
        </w:rPr>
        <w:t xml:space="preserve">4. </w:t>
      </w:r>
      <w:r>
        <w:rPr>
          <w:rFonts w:eastAsia="TimesNewRomanPSMT"/>
          <w:szCs w:val="24"/>
        </w:rPr>
        <w:t>S</w:t>
      </w:r>
      <w:r w:rsidRPr="00DB4998">
        <w:rPr>
          <w:rFonts w:eastAsia="TimesNewRomanPSMT"/>
          <w:szCs w:val="24"/>
        </w:rPr>
        <w:t xml:space="preserve">iekiant optimizuoti lygtinio paleidimo iš pataisos įstaigų instituto taikymą, teisingumo ministro 2013 m. gruodžio 17 d. įsakymu Nr. 1R-304 buvo sudaryta darbo grupė įvertinti minėto </w:t>
      </w:r>
      <w:r w:rsidRPr="00DB4998">
        <w:rPr>
          <w:rFonts w:eastAsia="TimesNewRomanPSMT"/>
          <w:szCs w:val="24"/>
        </w:rPr>
        <w:lastRenderedPageBreak/>
        <w:t>instituto teisinį reguliavimą ir praktinį įgyvendinimą. Dar</w:t>
      </w:r>
      <w:bookmarkStart w:id="0" w:name="_GoBack"/>
      <w:bookmarkEnd w:id="0"/>
      <w:r w:rsidRPr="00DB4998">
        <w:rPr>
          <w:rFonts w:eastAsia="TimesNewRomanPSMT"/>
          <w:szCs w:val="24"/>
        </w:rPr>
        <w:t xml:space="preserve">bo grupė nustatė, kad Lietuvos Respublikos bausmių vykdymo kodekso nustatytoje lygtinio paleidimo iš pataisos įstaigų taikymo tvarkoje pasigendama aiškių šio instituto taikymo kriterijų, lygtinį paleidimą taikantys subjektai (lygtinio paleidimo iš pataisos įstaigos komisijos ir teismai) dubliuoja savo veiklą, be to, griežtėja teismų praktika sprendžiant klausimą dėl nuteistųjų lygtinio paleidimo (ypatingai nuteistųjų už sunkius ir labai sunkius nusikaltimus) ir tai atitinkamai lemia mažą paleidžiamų iš pataisos įstaigų asmenų skaičių. Atsižvelgiant į paminėtas problemas, Teisingumo ministerija parengė pasiūlymus dėl Lietuvos Respublikos bausmių vykdymo kodekso ir Lietuvos Respublikos baudžiamojo proceso kodekso pakeitimo. Šiems pasiūlymams pritarė Lietuvos Respublikos Seimas, 2015 m. birželio 23 d. priimdamas Lietuvos Respublikos bausmių vykdymo pakeitimo įstatymą Nr. XII-1818 ir Lietuvos Respublikos </w:t>
      </w:r>
      <w:r>
        <w:rPr>
          <w:rFonts w:eastAsia="TimesNewRomanPSMT"/>
          <w:szCs w:val="24"/>
        </w:rPr>
        <w:t>baudžiamojo proceso kodekso 253</w:t>
      </w:r>
      <w:r w:rsidRPr="008D0579">
        <w:rPr>
          <w:rFonts w:eastAsia="TimesNewRomanPSMT"/>
          <w:szCs w:val="24"/>
          <w:vertAlign w:val="superscript"/>
        </w:rPr>
        <w:t>1</w:t>
      </w:r>
      <w:r w:rsidRPr="00DB4998">
        <w:rPr>
          <w:rFonts w:eastAsia="TimesNewRomanPSMT"/>
          <w:szCs w:val="24"/>
        </w:rPr>
        <w:t>, 360, 362 ir 364 straipsnių pakeitimo įstatymą Nr. XII-1820.</w:t>
      </w:r>
    </w:p>
    <w:p w:rsidR="00142834" w:rsidRPr="00DB4998" w:rsidRDefault="00142834" w:rsidP="003E0B14">
      <w:pPr>
        <w:autoSpaceDE w:val="0"/>
        <w:autoSpaceDN w:val="0"/>
        <w:adjustRightInd w:val="0"/>
        <w:spacing w:line="276" w:lineRule="auto"/>
        <w:rPr>
          <w:rFonts w:eastAsia="TimesNewRomanPSMT"/>
          <w:szCs w:val="24"/>
        </w:rPr>
      </w:pPr>
      <w:r w:rsidRPr="00DB4998">
        <w:rPr>
          <w:rFonts w:eastAsia="TimesNewRomanPSMT"/>
          <w:szCs w:val="24"/>
        </w:rPr>
        <w:t xml:space="preserve">Pakeistose lygtinio paleidimo iš pataisos įstaigų sąlygose pagrindinis dėmesys skiriamas nuteistojo, atliekančio laisvės atėmimo bausmę, padarytos pažangos mažinant nusikalstamo elgesio riziką, įvertinimui. Siekdami sumažinti nusikalstamo elgesio riziką, nuteistieji turi aktyviai dalyvauti socialinės reabilitacijos priemonėse, mokytis, ugdyti darbinius įgūdžius, laikytis pataisos įstaigų vidaus tvarkos, nedaryti kitų teisės pažeidimų. Priešingu atveju, t. y. nuteistajam nedarant pažangos socialinės reabilitacijos procese, lygtinis paleidimas iš pataisos įstaigos nebus taikomas. Nauja lygtinio paleidimo iš pataisos įstaigų tvarka įsigaliojo 2015 m. rugsėjo 1 d. ir tikimasi, kad ji prisidės prie sklandesnio ir dažnesnio nuteistųjų lygtinio paleidimo iš pataisos įstaigų, jei, žinoma, to sieks patys nuteistieji. </w:t>
      </w:r>
    </w:p>
    <w:p w:rsidR="00B2531E" w:rsidRDefault="003E0B14" w:rsidP="003E0B14">
      <w:pPr>
        <w:spacing w:line="276" w:lineRule="auto"/>
        <w:rPr>
          <w:szCs w:val="24"/>
        </w:rPr>
      </w:pPr>
      <w:r>
        <w:t>4-7.</w:t>
      </w:r>
      <w:r w:rsidR="008C0A9B">
        <w:t xml:space="preserve"> Komisija</w:t>
      </w:r>
      <w:r w:rsidR="001361B4" w:rsidRPr="001361B4">
        <w:rPr>
          <w:szCs w:val="24"/>
        </w:rPr>
        <w:t xml:space="preserve"> </w:t>
      </w:r>
      <w:r w:rsidR="001361B4">
        <w:rPr>
          <w:szCs w:val="24"/>
        </w:rPr>
        <w:t>nusprendė</w:t>
      </w:r>
      <w:r w:rsidR="001361B4" w:rsidRPr="00EF388A">
        <w:rPr>
          <w:szCs w:val="24"/>
        </w:rPr>
        <w:t xml:space="preserve"> </w:t>
      </w:r>
      <w:r w:rsidR="001361B4">
        <w:rPr>
          <w:szCs w:val="24"/>
        </w:rPr>
        <w:t>Rimanto Jurkevičiaus</w:t>
      </w:r>
      <w:r>
        <w:rPr>
          <w:szCs w:val="24"/>
        </w:rPr>
        <w:t xml:space="preserve">, </w:t>
      </w:r>
      <w:r>
        <w:rPr>
          <w:szCs w:val="24"/>
        </w:rPr>
        <w:t>Vytauto Pacevičiaus</w:t>
      </w:r>
      <w:r>
        <w:rPr>
          <w:szCs w:val="24"/>
        </w:rPr>
        <w:t xml:space="preserve">, Vytauto Ruzgio, Ričardo </w:t>
      </w:r>
      <w:proofErr w:type="spellStart"/>
      <w:r>
        <w:rPr>
          <w:szCs w:val="24"/>
        </w:rPr>
        <w:t>Ramšos</w:t>
      </w:r>
      <w:proofErr w:type="spellEnd"/>
      <w:r w:rsidR="001361B4">
        <w:rPr>
          <w:szCs w:val="24"/>
        </w:rPr>
        <w:t xml:space="preserve"> ir kitų pareiškėjų </w:t>
      </w:r>
      <w:r>
        <w:rPr>
          <w:szCs w:val="24"/>
        </w:rPr>
        <w:t>kreipimu</w:t>
      </w:r>
      <w:r w:rsidR="001361B4" w:rsidRPr="00EF388A">
        <w:rPr>
          <w:szCs w:val="24"/>
        </w:rPr>
        <w:t xml:space="preserve">si </w:t>
      </w:r>
      <w:r w:rsidR="001361B4" w:rsidRPr="00883149">
        <w:rPr>
          <w:szCs w:val="24"/>
        </w:rPr>
        <w:t xml:space="preserve">„Dėl </w:t>
      </w:r>
      <w:r w:rsidR="001361B4">
        <w:rPr>
          <w:szCs w:val="24"/>
        </w:rPr>
        <w:t>nusavintų pareigūnų ir karių pensijų grąžinimo</w:t>
      </w:r>
      <w:r w:rsidR="001361B4" w:rsidRPr="00883149">
        <w:rPr>
          <w:szCs w:val="24"/>
        </w:rPr>
        <w:t>“</w:t>
      </w:r>
      <w:r>
        <w:rPr>
          <w:szCs w:val="24"/>
        </w:rPr>
        <w:t>, vadovaujantis Peticijų įstatymo 9 straipsnio 5 dalimi, sujungti į vieną kreipimąsi, jį</w:t>
      </w:r>
      <w:r w:rsidR="001361B4" w:rsidRPr="00883149">
        <w:rPr>
          <w:szCs w:val="24"/>
        </w:rPr>
        <w:t xml:space="preserve"> </w:t>
      </w:r>
      <w:r w:rsidR="001361B4" w:rsidRPr="00EF388A">
        <w:rPr>
          <w:szCs w:val="24"/>
        </w:rPr>
        <w:t>pripažinti peticija ir priimti ją nagrinėti.</w:t>
      </w:r>
    </w:p>
    <w:p w:rsidR="003820CB" w:rsidRPr="006E3EFB" w:rsidRDefault="001361B4" w:rsidP="003E0B14">
      <w:pPr>
        <w:autoSpaceDE w:val="0"/>
        <w:autoSpaceDN w:val="0"/>
        <w:adjustRightInd w:val="0"/>
        <w:spacing w:line="276" w:lineRule="auto"/>
        <w:rPr>
          <w:rFonts w:eastAsia="Batang"/>
          <w:szCs w:val="24"/>
        </w:rPr>
      </w:pPr>
      <w:r>
        <w:rPr>
          <w:szCs w:val="24"/>
        </w:rPr>
        <w:t xml:space="preserve">Peticijoje </w:t>
      </w:r>
      <w:r w:rsidR="003820CB" w:rsidRPr="006E3EFB">
        <w:rPr>
          <w:szCs w:val="24"/>
        </w:rPr>
        <w:t xml:space="preserve">pateiktas pasiūlymas </w:t>
      </w:r>
      <w:r w:rsidR="003E0B14">
        <w:rPr>
          <w:rFonts w:eastAsia="Batang"/>
          <w:szCs w:val="24"/>
        </w:rPr>
        <w:t>priimti pareiškėjų pateiktą</w:t>
      </w:r>
      <w:r w:rsidR="003820CB" w:rsidRPr="006E3EFB">
        <w:rPr>
          <w:rFonts w:eastAsia="Batang"/>
          <w:szCs w:val="24"/>
        </w:rPr>
        <w:t xml:space="preserve"> Lietuvos Respublikos pareigūnų ir karių valstybinių pensij</w:t>
      </w:r>
      <w:r w:rsidR="003E0B14">
        <w:rPr>
          <w:rFonts w:eastAsia="Batang"/>
          <w:szCs w:val="24"/>
        </w:rPr>
        <w:t>ų kompensavimo įstatymo projektą.</w:t>
      </w:r>
    </w:p>
    <w:p w:rsidR="001361B4" w:rsidRDefault="001361B4" w:rsidP="003E0B14">
      <w:pPr>
        <w:spacing w:line="276" w:lineRule="auto"/>
      </w:pPr>
    </w:p>
    <w:p w:rsidR="00541C77" w:rsidRDefault="00541C77" w:rsidP="003E0B14">
      <w:pPr>
        <w:spacing w:line="276" w:lineRule="auto"/>
      </w:pPr>
    </w:p>
    <w:p w:rsidR="00541C77" w:rsidRPr="0025634D" w:rsidRDefault="00541C77" w:rsidP="003E0B14">
      <w:pPr>
        <w:spacing w:line="276" w:lineRule="auto"/>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541C77" w:rsidRPr="0073100A" w:rsidRDefault="00541C77" w:rsidP="003E0B14">
      <w:pPr>
        <w:spacing w:line="276" w:lineRule="auto"/>
        <w:rPr>
          <w:rFonts w:cs="Times New Roman"/>
          <w:szCs w:val="24"/>
        </w:rPr>
      </w:pPr>
    </w:p>
    <w:p w:rsidR="00541C77" w:rsidRPr="00217183" w:rsidRDefault="00541C77" w:rsidP="003E0B14">
      <w:pPr>
        <w:spacing w:line="276" w:lineRule="auto"/>
      </w:pPr>
    </w:p>
    <w:sectPr w:rsidR="00541C77"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59A" w:rsidRDefault="00AC059A" w:rsidP="00236D6B">
      <w:pPr>
        <w:spacing w:line="240" w:lineRule="auto"/>
      </w:pPr>
      <w:r>
        <w:separator/>
      </w:r>
    </w:p>
  </w:endnote>
  <w:endnote w:type="continuationSeparator" w:id="0">
    <w:p w:rsidR="00AC059A" w:rsidRDefault="00AC059A"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5" w:usb1="08070000" w:usb2="00000010" w:usb3="00000000" w:csb0="00020002" w:csb1="00000000"/>
  </w:font>
  <w:font w:name="TimesNewRomanPS-ItalicMT">
    <w:altName w:val="MS Mincho"/>
    <w:panose1 w:val="00000000000000000000"/>
    <w:charset w:val="80"/>
    <w:family w:val="auto"/>
    <w:notTrueType/>
    <w:pitch w:val="default"/>
    <w:sig w:usb0="00000005" w:usb1="08070000" w:usb2="00000010" w:usb3="00000000" w:csb0="00020002"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59A" w:rsidRDefault="00AC059A" w:rsidP="00236D6B">
      <w:pPr>
        <w:spacing w:line="240" w:lineRule="auto"/>
      </w:pPr>
      <w:r>
        <w:separator/>
      </w:r>
    </w:p>
  </w:footnote>
  <w:footnote w:type="continuationSeparator" w:id="0">
    <w:p w:rsidR="00AC059A" w:rsidRDefault="00AC059A"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3E0B14">
          <w:rPr>
            <w:noProof/>
          </w:rPr>
          <w:t>4</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59A"/>
    <w:rsid w:val="00016291"/>
    <w:rsid w:val="00050041"/>
    <w:rsid w:val="00051116"/>
    <w:rsid w:val="001361B4"/>
    <w:rsid w:val="00142834"/>
    <w:rsid w:val="00197C96"/>
    <w:rsid w:val="001A47A9"/>
    <w:rsid w:val="00217183"/>
    <w:rsid w:val="00236D6B"/>
    <w:rsid w:val="003820CB"/>
    <w:rsid w:val="003A77C2"/>
    <w:rsid w:val="003E0B14"/>
    <w:rsid w:val="004415F9"/>
    <w:rsid w:val="00464771"/>
    <w:rsid w:val="004A3875"/>
    <w:rsid w:val="004B6F32"/>
    <w:rsid w:val="00507CF3"/>
    <w:rsid w:val="00541C77"/>
    <w:rsid w:val="005D61C5"/>
    <w:rsid w:val="00755752"/>
    <w:rsid w:val="00851E02"/>
    <w:rsid w:val="00887561"/>
    <w:rsid w:val="008B3C0F"/>
    <w:rsid w:val="008C0A9B"/>
    <w:rsid w:val="009709F9"/>
    <w:rsid w:val="00A44520"/>
    <w:rsid w:val="00AC059A"/>
    <w:rsid w:val="00B2531E"/>
    <w:rsid w:val="00C26569"/>
    <w:rsid w:val="00C43859"/>
    <w:rsid w:val="00CE336C"/>
    <w:rsid w:val="00D52531"/>
    <w:rsid w:val="00D84D11"/>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C059A"/>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C059A"/>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11117</Words>
  <Characters>6338</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16</cp:revision>
  <dcterms:created xsi:type="dcterms:W3CDTF">2015-12-04T06:35:00Z</dcterms:created>
  <dcterms:modified xsi:type="dcterms:W3CDTF">2015-12-10T06:08:00Z</dcterms:modified>
</cp:coreProperties>
</file>