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7C12" w:rsidRPr="002C15A3" w:rsidRDefault="00DD7C12" w:rsidP="00DD7C12">
      <w:pPr>
        <w:jc w:val="center"/>
        <w:rPr>
          <w:rFonts w:cs="Times New Roman"/>
          <w:b/>
          <w:szCs w:val="24"/>
        </w:rPr>
      </w:pPr>
      <w:r w:rsidRPr="002C15A3">
        <w:rPr>
          <w:rFonts w:cs="Times New Roman"/>
          <w:b/>
          <w:szCs w:val="24"/>
        </w:rPr>
        <w:t xml:space="preserve">Informacija apie Komisijos 2015 m. </w:t>
      </w:r>
      <w:r>
        <w:rPr>
          <w:rFonts w:cs="Times New Roman"/>
          <w:b/>
          <w:szCs w:val="24"/>
        </w:rPr>
        <w:t>gruodžio 2</w:t>
      </w:r>
      <w:r w:rsidRPr="002C15A3">
        <w:rPr>
          <w:rFonts w:cs="Times New Roman"/>
          <w:b/>
          <w:szCs w:val="24"/>
        </w:rPr>
        <w:t xml:space="preserve"> d. posėdyje nagrinėtus klausimus ir priimtus sprendimus</w:t>
      </w:r>
    </w:p>
    <w:p w:rsidR="00DD7C12" w:rsidRPr="002C15A3" w:rsidRDefault="00DD7C12" w:rsidP="00DD7C12">
      <w:pPr>
        <w:jc w:val="center"/>
        <w:rPr>
          <w:rFonts w:cs="Times New Roman"/>
          <w:b/>
          <w:szCs w:val="24"/>
        </w:rPr>
      </w:pPr>
    </w:p>
    <w:p w:rsidR="00DD7C12" w:rsidRPr="002C15A3" w:rsidRDefault="00DD7C12" w:rsidP="00DD7C12">
      <w:pPr>
        <w:rPr>
          <w:rFonts w:cs="Times New Roman"/>
          <w:szCs w:val="24"/>
        </w:rPr>
      </w:pPr>
      <w:r w:rsidRPr="002C15A3">
        <w:rPr>
          <w:rFonts w:cs="Times New Roman"/>
          <w:szCs w:val="24"/>
        </w:rPr>
        <w:t xml:space="preserve">Komisijos 2015 m. </w:t>
      </w:r>
      <w:r>
        <w:rPr>
          <w:rFonts w:cs="Times New Roman"/>
          <w:szCs w:val="24"/>
        </w:rPr>
        <w:t>gruodžio 2</w:t>
      </w:r>
      <w:r w:rsidRPr="002C15A3">
        <w:rPr>
          <w:rFonts w:cs="Times New Roman"/>
          <w:szCs w:val="24"/>
        </w:rPr>
        <w:t xml:space="preserve"> d. posėdyje buvo nagrinėjami šie klausimai:</w:t>
      </w:r>
    </w:p>
    <w:p w:rsidR="00DD7C12" w:rsidRPr="002C15A3" w:rsidRDefault="00DD7C12" w:rsidP="00DD7C12">
      <w:pPr>
        <w:rPr>
          <w:rFonts w:cs="Times New Roman"/>
          <w:szCs w:val="24"/>
        </w:rPr>
      </w:pPr>
      <w:r w:rsidRPr="002C15A3">
        <w:rPr>
          <w:rFonts w:cs="Times New Roman"/>
          <w:szCs w:val="24"/>
        </w:rPr>
        <w:t xml:space="preserve">1. </w:t>
      </w:r>
      <w:r w:rsidR="00B36D6A">
        <w:rPr>
          <w:szCs w:val="24"/>
        </w:rPr>
        <w:t xml:space="preserve">Zenono Kavecko peticijos </w:t>
      </w:r>
      <w:r w:rsidR="00B36D6A" w:rsidRPr="00AD6BDA">
        <w:rPr>
          <w:szCs w:val="24"/>
        </w:rPr>
        <w:t>„</w:t>
      </w:r>
      <w:r w:rsidR="00B36D6A">
        <w:rPr>
          <w:szCs w:val="24"/>
        </w:rPr>
        <w:t>Dėl vandens tiekimo abonentinio mokesčio</w:t>
      </w:r>
      <w:r w:rsidR="00B36D6A" w:rsidRPr="00891704">
        <w:rPr>
          <w:szCs w:val="24"/>
        </w:rPr>
        <w:t>“</w:t>
      </w:r>
      <w:r w:rsidR="00B36D6A">
        <w:rPr>
          <w:szCs w:val="24"/>
        </w:rPr>
        <w:t xml:space="preserve"> nagrinėjimas iš esmės.</w:t>
      </w:r>
    </w:p>
    <w:p w:rsidR="00B36D6A" w:rsidRDefault="00B36D6A" w:rsidP="00DD7C12">
      <w:pPr>
        <w:rPr>
          <w:rFonts w:cs="Times New Roman"/>
          <w:szCs w:val="24"/>
        </w:rPr>
      </w:pPr>
      <w:r>
        <w:rPr>
          <w:rFonts w:cs="Times New Roman"/>
          <w:szCs w:val="24"/>
        </w:rPr>
        <w:t xml:space="preserve">2. </w:t>
      </w:r>
      <w:r>
        <w:rPr>
          <w:szCs w:val="24"/>
        </w:rPr>
        <w:t xml:space="preserve">Arvydo Edvardo </w:t>
      </w:r>
      <w:proofErr w:type="spellStart"/>
      <w:r>
        <w:rPr>
          <w:szCs w:val="24"/>
        </w:rPr>
        <w:t>Čiūto</w:t>
      </w:r>
      <w:proofErr w:type="spellEnd"/>
      <w:r>
        <w:rPr>
          <w:szCs w:val="24"/>
        </w:rPr>
        <w:t xml:space="preserve"> peticijos </w:t>
      </w:r>
      <w:r w:rsidRPr="00ED3FB8">
        <w:rPr>
          <w:szCs w:val="24"/>
        </w:rPr>
        <w:t>„Dėl rangos ir autorinių darbo sutarčių įtraukimo į darbo stažo laiką“</w:t>
      </w:r>
      <w:r>
        <w:rPr>
          <w:szCs w:val="24"/>
        </w:rPr>
        <w:t xml:space="preserve"> nagrinėjimas iš esmės.</w:t>
      </w:r>
    </w:p>
    <w:p w:rsidR="00DD7C12" w:rsidRPr="002C15A3" w:rsidRDefault="00DD7C12" w:rsidP="00DD7C12">
      <w:pPr>
        <w:rPr>
          <w:rFonts w:cs="Times New Roman"/>
          <w:szCs w:val="24"/>
        </w:rPr>
      </w:pPr>
      <w:r w:rsidRPr="002C15A3">
        <w:rPr>
          <w:rFonts w:cs="Times New Roman"/>
          <w:szCs w:val="24"/>
        </w:rPr>
        <w:t xml:space="preserve">3. </w:t>
      </w:r>
      <w:r w:rsidR="001B7DD8">
        <w:rPr>
          <w:szCs w:val="24"/>
        </w:rPr>
        <w:t>Dėl Sauliaus Arlausko ir kitų pareiškėjų peticijos „Dėl Lietuvos Respublikos Konstitucijos 55, 58, 61, 64, 66, 67, 69, 70, 71, 72, 84, 89, 96 straipsnių pakeitimo“.</w:t>
      </w:r>
      <w:r w:rsidR="00B36D6A">
        <w:rPr>
          <w:rFonts w:cs="Times New Roman"/>
          <w:szCs w:val="24"/>
        </w:rPr>
        <w:t xml:space="preserve"> </w:t>
      </w:r>
    </w:p>
    <w:p w:rsidR="00DD7C12" w:rsidRPr="002C15A3" w:rsidRDefault="00DD7C12" w:rsidP="00DD7C12">
      <w:pPr>
        <w:rPr>
          <w:rFonts w:cs="Times New Roman"/>
          <w:szCs w:val="24"/>
        </w:rPr>
      </w:pPr>
      <w:r w:rsidRPr="002C15A3">
        <w:rPr>
          <w:rFonts w:cs="Times New Roman"/>
          <w:szCs w:val="24"/>
        </w:rPr>
        <w:t xml:space="preserve">4. </w:t>
      </w:r>
      <w:r w:rsidR="00902A3C">
        <w:rPr>
          <w:szCs w:val="24"/>
        </w:rPr>
        <w:t xml:space="preserve">Dėl Romualdo </w:t>
      </w:r>
      <w:proofErr w:type="spellStart"/>
      <w:r w:rsidR="00902A3C">
        <w:rPr>
          <w:szCs w:val="24"/>
        </w:rPr>
        <w:t>Stralkaus</w:t>
      </w:r>
      <w:proofErr w:type="spellEnd"/>
      <w:r w:rsidR="00902A3C">
        <w:rPr>
          <w:szCs w:val="24"/>
        </w:rPr>
        <w:t xml:space="preserve"> pasiūlymo.</w:t>
      </w:r>
      <w:r w:rsidR="001B7DD8">
        <w:rPr>
          <w:rFonts w:cs="Times New Roman"/>
          <w:szCs w:val="24"/>
        </w:rPr>
        <w:t xml:space="preserve"> </w:t>
      </w:r>
    </w:p>
    <w:p w:rsidR="00C234DD" w:rsidRPr="009F497B" w:rsidRDefault="00DD7C12" w:rsidP="00C234DD">
      <w:pPr>
        <w:autoSpaceDE w:val="0"/>
        <w:autoSpaceDN w:val="0"/>
        <w:adjustRightInd w:val="0"/>
        <w:rPr>
          <w:rFonts w:eastAsia="Batang"/>
          <w:szCs w:val="24"/>
        </w:rPr>
      </w:pPr>
      <w:r w:rsidRPr="002C15A3">
        <w:rPr>
          <w:rFonts w:cs="Times New Roman"/>
          <w:szCs w:val="24"/>
        </w:rPr>
        <w:t xml:space="preserve">1. Komisija iš esmės išnagrinėjusi </w:t>
      </w:r>
      <w:r w:rsidR="00C234DD">
        <w:rPr>
          <w:szCs w:val="24"/>
        </w:rPr>
        <w:t>Zenono Kavecko peticiją</w:t>
      </w:r>
      <w:r w:rsidR="00902A3C">
        <w:rPr>
          <w:szCs w:val="24"/>
        </w:rPr>
        <w:t xml:space="preserve"> </w:t>
      </w:r>
      <w:r w:rsidR="00902A3C" w:rsidRPr="00AD6BDA">
        <w:rPr>
          <w:szCs w:val="24"/>
        </w:rPr>
        <w:t>„</w:t>
      </w:r>
      <w:r w:rsidR="00902A3C">
        <w:rPr>
          <w:szCs w:val="24"/>
        </w:rPr>
        <w:t>Dėl vandens tiekimo abonentinio mokesčio</w:t>
      </w:r>
      <w:r w:rsidR="00902A3C" w:rsidRPr="00891704">
        <w:rPr>
          <w:szCs w:val="24"/>
        </w:rPr>
        <w:t>“</w:t>
      </w:r>
      <w:r w:rsidR="00C234DD">
        <w:rPr>
          <w:szCs w:val="24"/>
        </w:rPr>
        <w:t>,</w:t>
      </w:r>
      <w:r w:rsidR="00902A3C">
        <w:rPr>
          <w:rFonts w:cs="Times New Roman"/>
          <w:szCs w:val="24"/>
        </w:rPr>
        <w:t xml:space="preserve"> </w:t>
      </w:r>
      <w:r w:rsidR="00C234DD" w:rsidRPr="009F497B">
        <w:rPr>
          <w:szCs w:val="24"/>
        </w:rPr>
        <w:t>priėmė sprendimą atmesti joje</w:t>
      </w:r>
      <w:r w:rsidR="00C234DD" w:rsidRPr="009F497B">
        <w:rPr>
          <w:rFonts w:eastAsia="TimesNewRomanPSMT"/>
          <w:szCs w:val="24"/>
        </w:rPr>
        <w:t xml:space="preserve"> pateiktą pasiūlymą </w:t>
      </w:r>
      <w:r w:rsidR="00C234DD" w:rsidRPr="009F497B">
        <w:rPr>
          <w:szCs w:val="24"/>
        </w:rPr>
        <w:t>panaikinti neteisėtai įvestą vandens tiekimo abonentinį mokestį.</w:t>
      </w:r>
      <w:r w:rsidR="00C234DD" w:rsidRPr="009F497B">
        <w:rPr>
          <w:rFonts w:eastAsia="TimesNewRomanPSMT"/>
          <w:szCs w:val="24"/>
        </w:rPr>
        <w:t xml:space="preserve"> </w:t>
      </w:r>
    </w:p>
    <w:p w:rsidR="00C234DD" w:rsidRDefault="00C234DD" w:rsidP="00C234DD">
      <w:pPr>
        <w:autoSpaceDE w:val="0"/>
        <w:autoSpaceDN w:val="0"/>
        <w:adjustRightInd w:val="0"/>
        <w:rPr>
          <w:szCs w:val="24"/>
        </w:rPr>
      </w:pPr>
      <w:r w:rsidRPr="009F497B">
        <w:rPr>
          <w:color w:val="000000"/>
          <w:szCs w:val="24"/>
        </w:rPr>
        <w:t xml:space="preserve">Komisija šį sprendimą priėmė, atsižvelgusi į </w:t>
      </w:r>
      <w:r w:rsidRPr="009F497B">
        <w:rPr>
          <w:szCs w:val="24"/>
        </w:rPr>
        <w:t>Valstybinės kainų ir energetikos kontrolės komisijos</w:t>
      </w:r>
      <w:r w:rsidRPr="009F497B">
        <w:rPr>
          <w:color w:val="000000"/>
          <w:szCs w:val="24"/>
        </w:rPr>
        <w:t xml:space="preserve"> </w:t>
      </w:r>
      <w:r>
        <w:rPr>
          <w:color w:val="000000"/>
          <w:szCs w:val="24"/>
        </w:rPr>
        <w:t xml:space="preserve">(toliau – VKEKK) </w:t>
      </w:r>
      <w:r w:rsidRPr="009F497B">
        <w:rPr>
          <w:color w:val="000000"/>
          <w:szCs w:val="24"/>
        </w:rPr>
        <w:t xml:space="preserve">pateiktą nuomonę, </w:t>
      </w:r>
      <w:r>
        <w:rPr>
          <w:color w:val="000000"/>
          <w:szCs w:val="24"/>
        </w:rPr>
        <w:t xml:space="preserve">į </w:t>
      </w:r>
      <w:r w:rsidRPr="009F497B">
        <w:rPr>
          <w:color w:val="000000"/>
          <w:szCs w:val="24"/>
        </w:rPr>
        <w:t>Komisijos posėdyje pateiktą informaciją ir paaiškinimus, taip pat manydama</w:t>
      </w:r>
      <w:r>
        <w:rPr>
          <w:color w:val="000000"/>
          <w:szCs w:val="24"/>
        </w:rPr>
        <w:t xml:space="preserve">, kad </w:t>
      </w:r>
      <w:r w:rsidRPr="009F497B">
        <w:rPr>
          <w:szCs w:val="24"/>
        </w:rPr>
        <w:t xml:space="preserve">pardavimo kaina </w:t>
      </w:r>
      <w:r>
        <w:rPr>
          <w:szCs w:val="24"/>
        </w:rPr>
        <w:t xml:space="preserve">(abonentinis mokestis) </w:t>
      </w:r>
      <w:r w:rsidRPr="009F497B">
        <w:rPr>
          <w:szCs w:val="24"/>
        </w:rPr>
        <w:t>nėra papildomas mokestis už teikiamas paslaugas. Pardavimo kaina yra sudėtinė geriamojo vandens tiekimo ir nuotekų tvarkymo paslaugų kainos dalis ir yra pagrįsta šios veiklos vykdymo būtinosiomis sąnaudomis.</w:t>
      </w:r>
    </w:p>
    <w:p w:rsidR="00C234DD" w:rsidRPr="009F497B" w:rsidRDefault="00C234DD" w:rsidP="00C234DD">
      <w:pPr>
        <w:autoSpaceDE w:val="0"/>
        <w:autoSpaceDN w:val="0"/>
        <w:adjustRightInd w:val="0"/>
        <w:rPr>
          <w:szCs w:val="24"/>
        </w:rPr>
      </w:pPr>
      <w:r>
        <w:rPr>
          <w:szCs w:val="24"/>
        </w:rPr>
        <w:t>G</w:t>
      </w:r>
      <w:r w:rsidRPr="009F497B">
        <w:rPr>
          <w:szCs w:val="24"/>
        </w:rPr>
        <w:t xml:space="preserve">eriamojo vandens tiekimo ir nuotekų tvarkymo veiklą reglamentuoja </w:t>
      </w:r>
      <w:r>
        <w:rPr>
          <w:szCs w:val="24"/>
        </w:rPr>
        <w:t>Lietuvos Respublikos g</w:t>
      </w:r>
      <w:r w:rsidRPr="009F497B">
        <w:rPr>
          <w:szCs w:val="24"/>
        </w:rPr>
        <w:t>eriamojo vandens tiekimo ir nuotekų tvarkymo įstatymas (toliau – Įstatymas)</w:t>
      </w:r>
      <w:r>
        <w:rPr>
          <w:szCs w:val="24"/>
        </w:rPr>
        <w:t>.</w:t>
      </w:r>
      <w:r w:rsidRPr="009F497B">
        <w:rPr>
          <w:szCs w:val="24"/>
        </w:rPr>
        <w:t xml:space="preserve"> </w:t>
      </w:r>
      <w:r>
        <w:rPr>
          <w:color w:val="000000"/>
          <w:szCs w:val="24"/>
        </w:rPr>
        <w:t>VKEKK</w:t>
      </w:r>
      <w:r>
        <w:rPr>
          <w:szCs w:val="24"/>
        </w:rPr>
        <w:t xml:space="preserve"> </w:t>
      </w:r>
      <w:r w:rsidRPr="009F497B">
        <w:rPr>
          <w:szCs w:val="24"/>
        </w:rPr>
        <w:t xml:space="preserve">kompetencija geriamojo vandens tiekimo ir nuotekų tvarkymo srityje įtvirtinta Įstatymo 9 straipsnyje, pagal kurį </w:t>
      </w:r>
      <w:r>
        <w:rPr>
          <w:color w:val="000000"/>
          <w:szCs w:val="24"/>
        </w:rPr>
        <w:t>VKEKK</w:t>
      </w:r>
      <w:r w:rsidRPr="009F497B">
        <w:rPr>
          <w:szCs w:val="24"/>
        </w:rPr>
        <w:t xml:space="preserve"> derina vandens tiekėjų tiekiamo geriamojo vandens, nuotekų tvarkymo paslaugų kainas ir kontroliuoja, kaip jos taikomos, nustato vandens tiekėjų tiekiamo geriamojo vandens, nuotekų tvarkymo paslaugų kainų nustatymo metodiką ir kontroliuoja, kaip ji taikoma. Vadovaudamasi Įstatymu, </w:t>
      </w:r>
      <w:r>
        <w:rPr>
          <w:color w:val="000000"/>
          <w:szCs w:val="24"/>
        </w:rPr>
        <w:t>VKEKK</w:t>
      </w:r>
      <w:r w:rsidRPr="009F497B">
        <w:rPr>
          <w:szCs w:val="24"/>
        </w:rPr>
        <w:t xml:space="preserve"> 2006 m. gruodžio 21 d. nutarimu Nr. 03-92 patvirtino Geriamojo vandens tiekimo ir nuotekų tvarkymo paslaugų kainų nustatymo metodiką (2014 m. gruodžio 12 d. nutarimu Nr. 03-942 Metodika išdėstyta nauja redakcija) (toliau - Metodika).</w:t>
      </w:r>
    </w:p>
    <w:p w:rsidR="00C234DD" w:rsidRPr="009F497B" w:rsidRDefault="00C234DD" w:rsidP="00C234DD">
      <w:pPr>
        <w:autoSpaceDE w:val="0"/>
        <w:autoSpaceDN w:val="0"/>
        <w:adjustRightInd w:val="0"/>
        <w:rPr>
          <w:szCs w:val="24"/>
        </w:rPr>
      </w:pPr>
      <w:r w:rsidRPr="009F497B">
        <w:rPr>
          <w:szCs w:val="24"/>
        </w:rPr>
        <w:t xml:space="preserve">Įstatymo 3 straipsnio 9 dalyje nurodyta, jog geriamojo vandens tiekimas – geriamojo vandens tiekėjo ir nuotekų tvarkytojo vykdoma veikla, apimanti technines, organizacines ir ekonomines priemones, reikalingas geriamajam vandeniui </w:t>
      </w:r>
      <w:r w:rsidRPr="009F497B">
        <w:rPr>
          <w:i/>
          <w:iCs/>
          <w:szCs w:val="24"/>
        </w:rPr>
        <w:t>išgauti</w:t>
      </w:r>
      <w:r w:rsidRPr="009F497B">
        <w:rPr>
          <w:szCs w:val="24"/>
        </w:rPr>
        <w:t xml:space="preserve">, </w:t>
      </w:r>
      <w:r w:rsidRPr="009F497B">
        <w:rPr>
          <w:i/>
          <w:iCs/>
          <w:szCs w:val="24"/>
        </w:rPr>
        <w:t xml:space="preserve">ruošti, pristatyti ir parduoti </w:t>
      </w:r>
      <w:r w:rsidRPr="009F497B">
        <w:rPr>
          <w:szCs w:val="24"/>
        </w:rPr>
        <w:t xml:space="preserve">abonentui ir </w:t>
      </w:r>
      <w:r w:rsidRPr="009F497B">
        <w:rPr>
          <w:i/>
          <w:iCs/>
          <w:szCs w:val="24"/>
        </w:rPr>
        <w:t>(</w:t>
      </w:r>
      <w:r w:rsidRPr="009F497B">
        <w:rPr>
          <w:szCs w:val="24"/>
        </w:rPr>
        <w:t xml:space="preserve">ar) vartotojui. Įstatymo 35 straipsnio 1 dalyje nurodyta, kad abonentai ir vartotojai už geriamojo vandens tiekėjo ir nuotekų tvarkytojo patiektą geriamąjį vandenį atsiskaito pagal pirkimo ir pardavimo vietoje (geriamojo vandens apskaitos mazguose) įrengtų atsiskaitomųjų geriamojo </w:t>
      </w:r>
      <w:r w:rsidRPr="009F497B">
        <w:rPr>
          <w:szCs w:val="24"/>
        </w:rPr>
        <w:lastRenderedPageBreak/>
        <w:t>vandens apskaitos prietaisų rodmenis, jeigu sutartis nenustato ko kita. To paties straipsnio 3 dalyje teigiama, kad atsiskaitomuosius geriamojo vandens apskaitos prietaisus pirkimo ir pardavimo vietose įrengia ir naudoja geriamojo vandens tiekėjas ir nuotekų tvarkytojas savo lėšomis. Atsiskaitomųjų geriamojo vandens apskaitos prietaisų įsigijimo, įrengimo, eksploatavimo ir patikros sąnaudos įtraukiamos į geriamojo vandens tiekimo ir nuotekų tvarkymo paslaugų kainą. Pagal Įstatymo 35 straipsnio 7 dalį abonentai ir vartotojai, kuriems dėl techninių ar kitų priežasčių nėra galimybės įrengti atsiskaitomųjų geriamojo vandens apskaitos prietaisų, už geriamojo vandens tiekėjo ir nuotekų tvarkytojo suteiktas paslaugas atsiskaito Geriamojo vandens tiekimo ir (arba) nuotekų tvarkymo viešosios sutarties standartinių sąlygų aprašo, patvirtinto 2007 m. sausio 31d. Lietuvos Respublikos Vyriausybės nutarimu Nr. 126 „Dėl geriamojo vandens tiekimo ir (arba) nuotekų tvarkymo viešosios sutarties standartinių sąlygų aprašo patvirtinimo“, nustatyta tvarka.</w:t>
      </w:r>
    </w:p>
    <w:p w:rsidR="00C234DD" w:rsidRPr="009F497B" w:rsidRDefault="00C234DD" w:rsidP="00C234DD">
      <w:pPr>
        <w:autoSpaceDE w:val="0"/>
        <w:autoSpaceDN w:val="0"/>
        <w:adjustRightInd w:val="0"/>
        <w:rPr>
          <w:szCs w:val="24"/>
        </w:rPr>
      </w:pPr>
      <w:r w:rsidRPr="009F497B">
        <w:rPr>
          <w:szCs w:val="24"/>
        </w:rPr>
        <w:t>Pagal Įstatymo 10 straipsnio 1 dalies 6 punktą, Savivaldybių tarybos, vadovaudamosi Metodika, nustato geriamojo vandens tiekėjų ir nuotekų tvarkytojų tiekiamo geriamojo vandens ir teikiamų nuotekų tvarkymo paslaugų kainas.</w:t>
      </w:r>
    </w:p>
    <w:p w:rsidR="00C234DD" w:rsidRPr="009F497B" w:rsidRDefault="00C234DD" w:rsidP="00C234DD">
      <w:pPr>
        <w:autoSpaceDE w:val="0"/>
        <w:autoSpaceDN w:val="0"/>
        <w:adjustRightInd w:val="0"/>
        <w:rPr>
          <w:szCs w:val="24"/>
        </w:rPr>
      </w:pPr>
      <w:r w:rsidRPr="009F497B">
        <w:rPr>
          <w:szCs w:val="24"/>
        </w:rPr>
        <w:t xml:space="preserve">Atsižvelgiant į Įstatymo 34 straipsnį ir Metodikos kainodaros principus, vartotojams ir abonentams skaičiuojamas geriamojo vandens tiekimo ir nuotekų tvarkymo paslaugų kainas sudaro: geriamojo vandens tiekimo kaina, </w:t>
      </w:r>
      <w:proofErr w:type="spellStart"/>
      <w:r w:rsidRPr="009F497B">
        <w:rPr>
          <w:szCs w:val="24"/>
        </w:rPr>
        <w:t>Eur</w:t>
      </w:r>
      <w:proofErr w:type="spellEnd"/>
      <w:r w:rsidRPr="009F497B">
        <w:rPr>
          <w:szCs w:val="24"/>
        </w:rPr>
        <w:t>/m</w:t>
      </w:r>
      <w:r w:rsidRPr="009F497B">
        <w:rPr>
          <w:szCs w:val="24"/>
          <w:vertAlign w:val="superscript"/>
        </w:rPr>
        <w:t>3</w:t>
      </w:r>
      <w:r w:rsidRPr="009F497B">
        <w:rPr>
          <w:szCs w:val="24"/>
        </w:rPr>
        <w:t xml:space="preserve"> + nuotekų tvarkymo kaina, </w:t>
      </w:r>
      <w:proofErr w:type="spellStart"/>
      <w:r w:rsidRPr="009F497B">
        <w:rPr>
          <w:szCs w:val="24"/>
        </w:rPr>
        <w:t>Eur</w:t>
      </w:r>
      <w:proofErr w:type="spellEnd"/>
      <w:r w:rsidRPr="009F497B">
        <w:rPr>
          <w:szCs w:val="24"/>
        </w:rPr>
        <w:t>/m</w:t>
      </w:r>
      <w:r w:rsidRPr="009F497B">
        <w:rPr>
          <w:szCs w:val="24"/>
          <w:vertAlign w:val="superscript"/>
        </w:rPr>
        <w:t>3</w:t>
      </w:r>
      <w:r w:rsidRPr="009F497B">
        <w:rPr>
          <w:szCs w:val="24"/>
        </w:rPr>
        <w:t xml:space="preserve"> + pardavimo kaina, </w:t>
      </w:r>
      <w:proofErr w:type="spellStart"/>
      <w:r w:rsidRPr="009F497B">
        <w:rPr>
          <w:szCs w:val="24"/>
        </w:rPr>
        <w:t>Eur</w:t>
      </w:r>
      <w:proofErr w:type="spellEnd"/>
      <w:r w:rsidRPr="009F497B">
        <w:rPr>
          <w:szCs w:val="24"/>
        </w:rPr>
        <w:t xml:space="preserve"> apskaitos prietaisui per mėn. (arba </w:t>
      </w:r>
      <w:proofErr w:type="spellStart"/>
      <w:r w:rsidRPr="009F497B">
        <w:rPr>
          <w:szCs w:val="24"/>
        </w:rPr>
        <w:t>Eur</w:t>
      </w:r>
      <w:proofErr w:type="spellEnd"/>
      <w:r w:rsidRPr="009F497B">
        <w:rPr>
          <w:szCs w:val="24"/>
        </w:rPr>
        <w:t xml:space="preserve"> butui per mėnesį, jei vartotojas gyvena daugiabučio namo bute).</w:t>
      </w:r>
    </w:p>
    <w:p w:rsidR="00C234DD" w:rsidRDefault="00C234DD" w:rsidP="00C234DD">
      <w:pPr>
        <w:autoSpaceDE w:val="0"/>
        <w:autoSpaceDN w:val="0"/>
        <w:adjustRightInd w:val="0"/>
        <w:rPr>
          <w:szCs w:val="24"/>
        </w:rPr>
      </w:pPr>
      <w:r>
        <w:rPr>
          <w:color w:val="000000"/>
          <w:szCs w:val="24"/>
        </w:rPr>
        <w:t>VKEKK</w:t>
      </w:r>
      <w:r w:rsidRPr="009F497B">
        <w:rPr>
          <w:szCs w:val="24"/>
        </w:rPr>
        <w:t>, skaičiuodama geriamojo vandens tiekimo ir nuotekų tvarkymo paslaugų kainas, įtraukia tik būtinąsias sąnaudas, reikalingas šioms paslaugoms atlikti. Į pardavimo kainą (dar vadinamą „abonentiniu mokesčiu“) įtraukiamos pardavimo tarnybos darbuotojų darbo užmokesčio ir socialinio draudimo sąnaudos, geriamojo vandens apskaitos prietaisų nusidėvėjimo, įrengimo, techninės priežiūros, keitimo, metrologinės patikros, remonto ir eksploatacinės sąnaudos, sutarčių sudarymo, sąskaitų parengimo ir pateikimo bei kitos būtinosios sąnaudos (pardavimo tarnybos ilgalaikio turto nusidėvėjimas, paslaugos ir darbai pagal sutartis, transportas, kuras, ryšių paslaugos, elektros energijos), susijusios su vandens pardavimu. Pardavimo veiklos sąnaudos išskirtos iš 1 m</w:t>
      </w:r>
      <w:r w:rsidRPr="009F497B">
        <w:rPr>
          <w:szCs w:val="24"/>
          <w:vertAlign w:val="superscript"/>
        </w:rPr>
        <w:t>3</w:t>
      </w:r>
      <w:r w:rsidRPr="009F497B">
        <w:rPr>
          <w:szCs w:val="24"/>
        </w:rPr>
        <w:t xml:space="preserve"> geriamojo vandens tiekimo bei nuotekų tvarkymo kainos ir nepriklauso nuo suvartoto vandens kiekio per mėnesį, t. y. ar sunaudojamas 1 m</w:t>
      </w:r>
      <w:r w:rsidRPr="009F497B">
        <w:rPr>
          <w:szCs w:val="24"/>
          <w:vertAlign w:val="superscript"/>
        </w:rPr>
        <w:t>3</w:t>
      </w:r>
      <w:r w:rsidRPr="009F497B">
        <w:rPr>
          <w:szCs w:val="24"/>
        </w:rPr>
        <w:t>, ar 10 m</w:t>
      </w:r>
      <w:r w:rsidRPr="009F497B">
        <w:rPr>
          <w:szCs w:val="24"/>
          <w:vertAlign w:val="superscript"/>
        </w:rPr>
        <w:t>3</w:t>
      </w:r>
      <w:r w:rsidRPr="009F497B">
        <w:rPr>
          <w:szCs w:val="24"/>
        </w:rPr>
        <w:t xml:space="preserve"> vandens, apskaitos prietaiso priežiūros ir vartotojo aptarnavimo sąnaudos yra tos pačios. Kadangi sąnaudos, susijusios su apskaitos prietaiso priežiūra ir </w:t>
      </w:r>
      <w:r>
        <w:rPr>
          <w:szCs w:val="24"/>
        </w:rPr>
        <w:t xml:space="preserve">vartotojų aptarnavimu, </w:t>
      </w:r>
      <w:r w:rsidRPr="009F497B">
        <w:rPr>
          <w:szCs w:val="24"/>
        </w:rPr>
        <w:t>yra pastovios kiekvieną mėnesį (apskaitos prietaiso remontas arba keitimas nauju, rodmenų tikrinimas, metrologinė patikra, sąskaitų parengimas ir išrašymas), todėl jas įvertinus 1 kubinio metro kainoje bus pažeistas Įstatymo 34 straipsnio 1 dalyje įtvirtintas nediskriminavimo principas – vartotojai, sunaudojantys daugiau vandens, padengs vartotojų, sunaudojančių mažiau vandens, sąnaudas.</w:t>
      </w:r>
    </w:p>
    <w:p w:rsidR="007D2A81" w:rsidRPr="001D10C3" w:rsidRDefault="007D2A81" w:rsidP="007D2A81">
      <w:pPr>
        <w:autoSpaceDE w:val="0"/>
        <w:autoSpaceDN w:val="0"/>
        <w:adjustRightInd w:val="0"/>
        <w:rPr>
          <w:rFonts w:eastAsia="Batang"/>
          <w:szCs w:val="24"/>
        </w:rPr>
      </w:pPr>
      <w:r>
        <w:rPr>
          <w:szCs w:val="24"/>
        </w:rPr>
        <w:lastRenderedPageBreak/>
        <w:t xml:space="preserve">2. </w:t>
      </w:r>
      <w:bookmarkStart w:id="0" w:name="_GoBack"/>
      <w:bookmarkEnd w:id="0"/>
      <w:r w:rsidRPr="002C15A3">
        <w:rPr>
          <w:rFonts w:cs="Times New Roman"/>
          <w:szCs w:val="24"/>
        </w:rPr>
        <w:t xml:space="preserve">Komisija iš esmės išnagrinėjusi </w:t>
      </w:r>
      <w:r w:rsidRPr="001D10C3">
        <w:rPr>
          <w:szCs w:val="24"/>
        </w:rPr>
        <w:t xml:space="preserve">Arvydo Edvardo </w:t>
      </w:r>
      <w:proofErr w:type="spellStart"/>
      <w:r w:rsidRPr="001D10C3">
        <w:rPr>
          <w:szCs w:val="24"/>
        </w:rPr>
        <w:t>Čiūto</w:t>
      </w:r>
      <w:proofErr w:type="spellEnd"/>
      <w:r w:rsidRPr="001D10C3">
        <w:rPr>
          <w:szCs w:val="24"/>
        </w:rPr>
        <w:t xml:space="preserve"> peticiją</w:t>
      </w:r>
      <w:r w:rsidRPr="001D10C3">
        <w:rPr>
          <w:bCs/>
          <w:szCs w:val="24"/>
        </w:rPr>
        <w:t xml:space="preserve"> </w:t>
      </w:r>
      <w:r w:rsidRPr="001D10C3">
        <w:rPr>
          <w:szCs w:val="24"/>
        </w:rPr>
        <w:t>„Dėl rangos ir autorinių darbo sutarčių įtraukimo į darbo stažo laiką“</w:t>
      </w:r>
      <w:r>
        <w:rPr>
          <w:szCs w:val="24"/>
        </w:rPr>
        <w:t>,</w:t>
      </w:r>
      <w:r w:rsidRPr="001D10C3">
        <w:rPr>
          <w:szCs w:val="24"/>
        </w:rPr>
        <w:t xml:space="preserve"> priėmė sprendimą atmesti joje </w:t>
      </w:r>
      <w:r w:rsidRPr="001D10C3">
        <w:rPr>
          <w:rFonts w:eastAsia="TimesNewRomanPSMT"/>
          <w:szCs w:val="24"/>
        </w:rPr>
        <w:t xml:space="preserve">pateiktą pasiūlymą </w:t>
      </w:r>
      <w:r w:rsidRPr="001D10C3">
        <w:rPr>
          <w:rFonts w:eastAsia="ArialMT"/>
          <w:szCs w:val="24"/>
        </w:rPr>
        <w:t xml:space="preserve">spręsti </w:t>
      </w:r>
      <w:r>
        <w:rPr>
          <w:rFonts w:eastAsia="ArialMT"/>
          <w:szCs w:val="24"/>
        </w:rPr>
        <w:t xml:space="preserve">dėl </w:t>
      </w:r>
      <w:r w:rsidRPr="001D10C3">
        <w:rPr>
          <w:rFonts w:eastAsia="ArialMT"/>
          <w:szCs w:val="24"/>
        </w:rPr>
        <w:t>teisės akto dėl darbo pagal rangos ir autorines sutartis laikotarpių įtraukimo į darbo stažą, papildymo ar pakeitimo.</w:t>
      </w:r>
      <w:r w:rsidRPr="001D10C3">
        <w:rPr>
          <w:szCs w:val="24"/>
        </w:rPr>
        <w:t xml:space="preserve"> </w:t>
      </w:r>
    </w:p>
    <w:p w:rsidR="007D2A81" w:rsidRPr="00E17B6F" w:rsidRDefault="007D2A81" w:rsidP="007D2A81">
      <w:pPr>
        <w:autoSpaceDE w:val="0"/>
        <w:autoSpaceDN w:val="0"/>
        <w:adjustRightInd w:val="0"/>
        <w:rPr>
          <w:szCs w:val="24"/>
        </w:rPr>
      </w:pPr>
      <w:r w:rsidRPr="001D10C3">
        <w:rPr>
          <w:color w:val="000000"/>
          <w:szCs w:val="24"/>
        </w:rPr>
        <w:t xml:space="preserve">Komisija šį sprendimą priėmė, atsižvelgusi į </w:t>
      </w:r>
      <w:r>
        <w:rPr>
          <w:color w:val="000000"/>
          <w:szCs w:val="24"/>
        </w:rPr>
        <w:t>Socialinės apsaugos ir darbo ministerijos pateiktą nuomonę</w:t>
      </w:r>
      <w:r w:rsidRPr="00ED496B">
        <w:rPr>
          <w:szCs w:val="24"/>
        </w:rPr>
        <w:t xml:space="preserve"> </w:t>
      </w:r>
      <w:r>
        <w:rPr>
          <w:szCs w:val="24"/>
        </w:rPr>
        <w:t>ir manydama, kad</w:t>
      </w:r>
      <w:r w:rsidRPr="001D10C3">
        <w:rPr>
          <w:szCs w:val="24"/>
        </w:rPr>
        <w:t xml:space="preserve"> </w:t>
      </w:r>
      <w:r>
        <w:rPr>
          <w:szCs w:val="24"/>
        </w:rPr>
        <w:t xml:space="preserve">pareiškėjo siūlomi </w:t>
      </w:r>
      <w:r w:rsidRPr="001D10C3">
        <w:rPr>
          <w:szCs w:val="24"/>
        </w:rPr>
        <w:t xml:space="preserve">pakeitimai prieštarautų esminiam socialinio draudimo sistemos principui, t. y. </w:t>
      </w:r>
      <w:r>
        <w:rPr>
          <w:szCs w:val="24"/>
        </w:rPr>
        <w:t>v</w:t>
      </w:r>
      <w:r w:rsidRPr="001D10C3">
        <w:rPr>
          <w:szCs w:val="24"/>
        </w:rPr>
        <w:t>alstybinės socialinio draudimo pensijos (toliau – pensija) dydžio priklausomybės nuo mokė</w:t>
      </w:r>
      <w:r w:rsidRPr="00E17B6F">
        <w:rPr>
          <w:szCs w:val="24"/>
        </w:rPr>
        <w:t xml:space="preserve">tų socialinio draudimo </w:t>
      </w:r>
      <w:r w:rsidRPr="00ED496B">
        <w:rPr>
          <w:szCs w:val="24"/>
        </w:rPr>
        <w:t xml:space="preserve">įmokų. Be to, </w:t>
      </w:r>
      <w:r w:rsidRPr="001D10C3">
        <w:rPr>
          <w:szCs w:val="24"/>
        </w:rPr>
        <w:t xml:space="preserve">Arvydo Edvardo </w:t>
      </w:r>
      <w:proofErr w:type="spellStart"/>
      <w:r w:rsidRPr="001D10C3">
        <w:rPr>
          <w:szCs w:val="24"/>
        </w:rPr>
        <w:t>Čiūto</w:t>
      </w:r>
      <w:proofErr w:type="spellEnd"/>
      <w:r w:rsidRPr="00ED496B">
        <w:rPr>
          <w:szCs w:val="24"/>
        </w:rPr>
        <w:t xml:space="preserve"> siūlomi pakeitimai išskirtų tam tikrą asmenų grupę, kuriai pensija būtų apskaičiuojama ir skiriama palankesnėmis sąlygomis nei kitiems. Susidarytų precedentas ir kitoms asmenų grupėms, kurios pagal tuo metu galiojusias</w:t>
      </w:r>
      <w:r w:rsidRPr="00E17B6F">
        <w:rPr>
          <w:szCs w:val="24"/>
        </w:rPr>
        <w:t xml:space="preserve"> teisines nuostatas nebuvo draudžiamos valstybiniu socialiniu draudimu, reikalauti nedraudiminius laikotarpius įskaityti į stažą, o gautas pajamas prilyginti draudžiamosioms pajamoms.</w:t>
      </w:r>
    </w:p>
    <w:p w:rsidR="007D2A81" w:rsidRPr="00ED496B" w:rsidRDefault="007D2A81" w:rsidP="007D2A81">
      <w:pPr>
        <w:autoSpaceDE w:val="0"/>
        <w:autoSpaceDN w:val="0"/>
        <w:adjustRightInd w:val="0"/>
        <w:rPr>
          <w:szCs w:val="24"/>
        </w:rPr>
      </w:pPr>
      <w:r>
        <w:rPr>
          <w:szCs w:val="24"/>
        </w:rPr>
        <w:t xml:space="preserve">Pensijos </w:t>
      </w:r>
      <w:r w:rsidRPr="001D10C3">
        <w:rPr>
          <w:szCs w:val="24"/>
        </w:rPr>
        <w:t xml:space="preserve">yra skiriamos ir mokamos vadovaujantis </w:t>
      </w:r>
      <w:r>
        <w:rPr>
          <w:szCs w:val="24"/>
        </w:rPr>
        <w:t>Lietuvos Respublikos v</w:t>
      </w:r>
      <w:r w:rsidRPr="001D10C3">
        <w:rPr>
          <w:szCs w:val="24"/>
        </w:rPr>
        <w:t xml:space="preserve">alstybinių socialinio draudimo pensijų įstatymu Nr. 1-549 (toliau – Pensijų įstatymas) ir Lietuvos Respublikos Vyriausybės 1994 m. lapkričio 18 d. nutarimu Nr. 1156 patvirtintais Valstybinių socialinio draudimo pensijų skyrimo ir mokėjimo nuostatais (toliau – Nuostatai). Nuo 1995 m. sausio 1 d. įsigaliojusiame Pensijų įstatymo 8 straipsnyje nustatyta, kad asmens stažą po šio įstatymo įsigaliojimo sudaro laikas, per kurį asmuo pats mokėjo ar už jį buvo (ar turėjo būti) mokamos valstybinio socialinio pensijų draudimo įmokos. Laikantis to paties principo buvo apsispręsta, kad ir iki 1995 m. įgytam stažui turi būti prilyginti tik tie asmens darbo ar tam tikros veiklos laikotarpiai, kurių metu asmuo pagal tuo metu galiojusius teisės aktus buvo ar turėjo būti draudžiamas valstybiniu socialiniu draudimu. Atsižvelgiant į tai, laikotarpiai, kurie yra prilyginami stažui iki Pensijų įstatymo įsigaliojimo (iki 1995 m. sausio 1 d.), yra nustatyti Pensijų įstatymo 54 straipsnyje. Stažui yra prilyginamas visas darbininkų ir tarnautojų darbo laikas, taip pat kolūkio narių darbo kolūkyje laikas bei Nuostatuose nurodytų kitų asmenų, kurie pagal galiojusius SSRS įstatymus turėjo būti draudžiami valstybiniu socialiniu draudimu, darbo laikas. Nuostatų 5 priedo 1 punkte nustatyta, kad valstybinio socialinio draudimo įmokos neturėjo būti skaičiuojamos nuo atlyginimo už darbą pagal civilines teisines sutartis (rangos, komiso, pavedimo ir kitas). </w:t>
      </w:r>
      <w:r w:rsidRPr="00ED496B">
        <w:rPr>
          <w:szCs w:val="24"/>
        </w:rPr>
        <w:t>Taigi, asmenys, dirbę pagal civilines teisines sutartis (rangos, pavedimo ir kitas) nebuvo draudžiami socialiniu draudimu, todėl atitinkamai darbo laikas pagal šias sutartis neprilyginamas stažui.</w:t>
      </w:r>
    </w:p>
    <w:p w:rsidR="007D2A81" w:rsidRPr="001D10C3" w:rsidRDefault="007D2A81" w:rsidP="007D2A81">
      <w:pPr>
        <w:autoSpaceDE w:val="0"/>
        <w:autoSpaceDN w:val="0"/>
        <w:adjustRightInd w:val="0"/>
        <w:rPr>
          <w:szCs w:val="24"/>
        </w:rPr>
      </w:pPr>
      <w:r w:rsidRPr="001D10C3">
        <w:rPr>
          <w:szCs w:val="24"/>
        </w:rPr>
        <w:t xml:space="preserve">Kaip minėta, valstybinio socialinio draudimo įmokos nuo atlyginimo pagal civilines teisines sutartis (rangos) neturėjo būti skaičiuojamos. Net ir tuo atveju, jeigu ir būtų priskaičiuotos valstybinio socialinio draudimo įmokos nuo atlyginimo už darbą pagal civilines teisines sutartis, būtų padaryta tai, ko neturėjo daryti ir ko daryti neįpareigojo tuo metu galioję teisės aktai. Tokio </w:t>
      </w:r>
      <w:r w:rsidRPr="001D10C3">
        <w:rPr>
          <w:szCs w:val="24"/>
        </w:rPr>
        <w:lastRenderedPageBreak/>
        <w:t xml:space="preserve">darbo pagal civilinę teisinę sutartį (rangos), kai be teisinio pagrindo buvo priskaičiuotos valstybinio socialinio draudimo įmokos, laikotarpio įskaitymas į stažą pažeistų bendrąjį teisės principą </w:t>
      </w:r>
      <w:proofErr w:type="spellStart"/>
      <w:r w:rsidRPr="001D10C3">
        <w:rPr>
          <w:i/>
          <w:iCs/>
          <w:szCs w:val="24"/>
        </w:rPr>
        <w:t>ex</w:t>
      </w:r>
      <w:proofErr w:type="spellEnd"/>
      <w:r w:rsidRPr="001D10C3">
        <w:rPr>
          <w:i/>
          <w:iCs/>
          <w:szCs w:val="24"/>
        </w:rPr>
        <w:t xml:space="preserve"> </w:t>
      </w:r>
      <w:proofErr w:type="spellStart"/>
      <w:r w:rsidRPr="001D10C3">
        <w:rPr>
          <w:i/>
          <w:iCs/>
          <w:szCs w:val="24"/>
        </w:rPr>
        <w:t>injuria</w:t>
      </w:r>
      <w:proofErr w:type="spellEnd"/>
      <w:r w:rsidRPr="001D10C3">
        <w:rPr>
          <w:i/>
          <w:iCs/>
          <w:szCs w:val="24"/>
        </w:rPr>
        <w:t xml:space="preserve"> jus </w:t>
      </w:r>
      <w:proofErr w:type="spellStart"/>
      <w:r w:rsidRPr="001D10C3">
        <w:rPr>
          <w:i/>
          <w:iCs/>
          <w:szCs w:val="24"/>
        </w:rPr>
        <w:t>non</w:t>
      </w:r>
      <w:proofErr w:type="spellEnd"/>
      <w:r w:rsidRPr="001D10C3">
        <w:rPr>
          <w:i/>
          <w:iCs/>
          <w:szCs w:val="24"/>
        </w:rPr>
        <w:t xml:space="preserve"> </w:t>
      </w:r>
      <w:proofErr w:type="spellStart"/>
      <w:r w:rsidRPr="001D10C3">
        <w:rPr>
          <w:i/>
          <w:iCs/>
          <w:szCs w:val="24"/>
        </w:rPr>
        <w:t>oritur</w:t>
      </w:r>
      <w:proofErr w:type="spellEnd"/>
      <w:r w:rsidRPr="001D10C3">
        <w:rPr>
          <w:i/>
          <w:iCs/>
          <w:szCs w:val="24"/>
        </w:rPr>
        <w:t xml:space="preserve"> </w:t>
      </w:r>
      <w:r w:rsidRPr="001D10C3">
        <w:rPr>
          <w:szCs w:val="24"/>
        </w:rPr>
        <w:t>(neteisės pagrindu teisė neatsiranda).</w:t>
      </w:r>
    </w:p>
    <w:p w:rsidR="007D2A81" w:rsidRPr="001D10C3" w:rsidRDefault="007D2A81" w:rsidP="007D2A81">
      <w:pPr>
        <w:autoSpaceDE w:val="0"/>
        <w:autoSpaceDN w:val="0"/>
        <w:adjustRightInd w:val="0"/>
        <w:rPr>
          <w:szCs w:val="24"/>
        </w:rPr>
      </w:pPr>
      <w:r w:rsidRPr="001D10C3">
        <w:rPr>
          <w:szCs w:val="24"/>
        </w:rPr>
        <w:t>Atkreiptinas dėmesys, kad valstybinio socialinio draudimo įmokos neturėjo būti skaičiuojamos ir nuo atlyginimo (autoriaus honoraro) už darbą pagal kūrybines (autorines) sutartis (Nuostatų 5 priedo 2 punktas). Asmenys, dirbantys pagal autorines sutartis, privalomuoju valstybiniu socialiniu draudimu pradėti drausti tik nuo 2009 m. Asmenims, vykdantiems individualią veiklą pagal verslo liudijimą (iki 2004 m. sausio 1 d. tokie asmenys buvo laikomi kaip dirbantys pagal patentą), prievolė draustis pagrindinei pensijos daliai įsigaliojo nuo 1999 m. Taigi, laikotarpiai dirbant pagal autorines sutartis arba pagal verslo liudijimą yra įskaitomi į stažą atitinkamai tik nuo 2009 m. arba nuo 1999 m., kai buvo mokėtos valstybinio socialinio pensijų draudimo įmokos. Tai, kad asmuo dirbdamas pagal rangos sutartį ar autorinę sutartį mokėjo gyventojų pajamų mokestį, nesuteikia teisės šio laikotarpio įskaityti į stažą, o gautų pajamų prilyginti draudžiamosioms pajamoms. Valstybinio socialinio draudimo įmoka ir gyventojų pajamų mokestis yra skirtingi dalykai, mokami į skirtingus biudžetus skirtingais tikslais.</w:t>
      </w:r>
    </w:p>
    <w:p w:rsidR="007D2A81" w:rsidRPr="00ED496B" w:rsidRDefault="007D2A81" w:rsidP="007D2A81">
      <w:pPr>
        <w:autoSpaceDE w:val="0"/>
        <w:autoSpaceDN w:val="0"/>
        <w:adjustRightInd w:val="0"/>
        <w:rPr>
          <w:szCs w:val="24"/>
        </w:rPr>
      </w:pPr>
      <w:r w:rsidRPr="00ED496B">
        <w:rPr>
          <w:szCs w:val="24"/>
        </w:rPr>
        <w:t>Atsižvelgdami į minėtą teisinį reguliavimą, manytina, kad neturėtų būti keičiamos Pensijų įstatymo nuostatos dėl darbo laikotarpių, dirbant pagal civilines teisines sutartis (rangos, komiso, pavedimo ir kitas) ar autorine</w:t>
      </w:r>
      <w:r>
        <w:rPr>
          <w:szCs w:val="24"/>
        </w:rPr>
        <w:t>s sutartis, prilyginimo stažui.</w:t>
      </w:r>
      <w:r w:rsidRPr="00ED496B">
        <w:rPr>
          <w:szCs w:val="24"/>
        </w:rPr>
        <w:t xml:space="preserve"> Konstitucinis Teismas 2002 m. lapkričio 25 d. nutarime</w:t>
      </w:r>
      <w:r>
        <w:rPr>
          <w:szCs w:val="24"/>
        </w:rPr>
        <w:t xml:space="preserve"> pažymėjo, kad </w:t>
      </w:r>
      <w:r w:rsidRPr="00ED496B">
        <w:rPr>
          <w:szCs w:val="24"/>
        </w:rPr>
        <w:t>„lėšų, reikalingų senatvės pensijai mokėti, surinkimas ir šių pensijų skyrimas paprastai yra grindžiamas socialiniu draudimu. Socialinio draudimo įmokų mokėjimas suponuoja asmens teisę gauti atitinkamo dydžio senatvės pensiją, šis dydis negali nepriklausyti nuo sumokėtų socialinio draudimo įmokų“.</w:t>
      </w:r>
    </w:p>
    <w:p w:rsidR="007D2A81" w:rsidRPr="0073100A" w:rsidRDefault="007D2A81" w:rsidP="007D2A81">
      <w:pPr>
        <w:autoSpaceDE w:val="0"/>
        <w:autoSpaceDN w:val="0"/>
        <w:adjustRightInd w:val="0"/>
        <w:rPr>
          <w:rFonts w:cs="Times New Roman"/>
          <w:szCs w:val="24"/>
        </w:rPr>
      </w:pPr>
      <w:r w:rsidRPr="00ED496B">
        <w:rPr>
          <w:szCs w:val="24"/>
        </w:rPr>
        <w:t xml:space="preserve">Dėl </w:t>
      </w:r>
      <w:r w:rsidRPr="001D10C3">
        <w:rPr>
          <w:szCs w:val="24"/>
        </w:rPr>
        <w:t xml:space="preserve">Arvydo Edvardo </w:t>
      </w:r>
      <w:proofErr w:type="spellStart"/>
      <w:r w:rsidRPr="001D10C3">
        <w:rPr>
          <w:szCs w:val="24"/>
        </w:rPr>
        <w:t>Čiūto</w:t>
      </w:r>
      <w:proofErr w:type="spellEnd"/>
      <w:r w:rsidRPr="001D10C3">
        <w:rPr>
          <w:szCs w:val="24"/>
        </w:rPr>
        <w:t xml:space="preserve"> </w:t>
      </w:r>
      <w:r>
        <w:rPr>
          <w:szCs w:val="24"/>
        </w:rPr>
        <w:t xml:space="preserve">darbo </w:t>
      </w:r>
      <w:r w:rsidRPr="00ED496B">
        <w:rPr>
          <w:szCs w:val="24"/>
        </w:rPr>
        <w:t>laikotarpių pagal civilines teisines sutartis (rangos) prilyginimo stažui yra nagrinėję Teismai. Kauno apygardos administracinis teismas 2012 m. rugsėjo 28 d, sprendimu patvirtino Valstybinio socialinio draudimo fondo valdybos Kauno skyriaus Centro pensijų skyriaus ir Valstybinio socialinio draudimo fondo</w:t>
      </w:r>
      <w:r w:rsidRPr="00E17B6F">
        <w:rPr>
          <w:szCs w:val="24"/>
        </w:rPr>
        <w:t xml:space="preserve"> valdyb</w:t>
      </w:r>
      <w:r>
        <w:rPr>
          <w:szCs w:val="24"/>
        </w:rPr>
        <w:t>os priimtų sprendimų teisingumą.</w:t>
      </w:r>
      <w:r w:rsidRPr="00E17B6F">
        <w:rPr>
          <w:szCs w:val="24"/>
        </w:rPr>
        <w:t xml:space="preserve"> Lietuvos Vyriausiasis administracinis teismas 2013 m. kovo 15 d. nutartimi minėtą Kauno apygardos administracinio teismo sprendimą paliko nepakeistą. Teismai nenustatė, kad </w:t>
      </w:r>
      <w:r>
        <w:rPr>
          <w:szCs w:val="24"/>
        </w:rPr>
        <w:t xml:space="preserve">Arvydo </w:t>
      </w:r>
      <w:r w:rsidRPr="0073100A">
        <w:rPr>
          <w:rFonts w:cs="Times New Roman"/>
          <w:szCs w:val="24"/>
        </w:rPr>
        <w:t xml:space="preserve">Edvardo </w:t>
      </w:r>
      <w:proofErr w:type="spellStart"/>
      <w:r w:rsidRPr="0073100A">
        <w:rPr>
          <w:rFonts w:cs="Times New Roman"/>
          <w:szCs w:val="24"/>
        </w:rPr>
        <w:t>Čiūtui</w:t>
      </w:r>
      <w:proofErr w:type="spellEnd"/>
      <w:r w:rsidRPr="0073100A">
        <w:rPr>
          <w:rFonts w:cs="Times New Roman"/>
          <w:szCs w:val="24"/>
        </w:rPr>
        <w:t xml:space="preserve"> į stažą turėtų būti įskaityti laikotarpiai dirbant pagal civilines teisines sutartis.</w:t>
      </w:r>
    </w:p>
    <w:p w:rsidR="0073100A" w:rsidRPr="0073100A" w:rsidRDefault="007D2A81" w:rsidP="0073100A">
      <w:pPr>
        <w:rPr>
          <w:rFonts w:cs="Times New Roman"/>
          <w:szCs w:val="24"/>
        </w:rPr>
      </w:pPr>
      <w:r w:rsidRPr="0073100A">
        <w:rPr>
          <w:rFonts w:cs="Times New Roman"/>
          <w:szCs w:val="24"/>
        </w:rPr>
        <w:t xml:space="preserve">3. </w:t>
      </w:r>
      <w:r w:rsidR="0073100A" w:rsidRPr="0073100A">
        <w:rPr>
          <w:rFonts w:cs="Times New Roman"/>
          <w:szCs w:val="24"/>
        </w:rPr>
        <w:t xml:space="preserve">Komisija, vadovaudamasi Konstitucijos 147 straipsnio 1 dalimi, Lietuvos Respublikos peticijų įstatymo 1 straipsniu, nusprendė </w:t>
      </w:r>
      <w:r w:rsidR="0073100A">
        <w:rPr>
          <w:rFonts w:cs="Times New Roman"/>
          <w:szCs w:val="24"/>
        </w:rPr>
        <w:t>Sauliaus Arlausko ir kitų pareiškėjų</w:t>
      </w:r>
      <w:r w:rsidR="0073100A" w:rsidRPr="0073100A">
        <w:rPr>
          <w:rFonts w:cs="Times New Roman"/>
          <w:szCs w:val="24"/>
        </w:rPr>
        <w:t xml:space="preserve"> peticijos „Dėl Lietuvos Respublikos Konstitucijos 55, 58, 61, 64, 66, 67, 69, 70, 71, 72, 84, 89, 96 straipsnių pakeitimo“ nenagrinėti Peticijų įstatyme nustatytais pagrindais, taip pat, vadovaudamasi Seimo </w:t>
      </w:r>
      <w:r w:rsidR="0073100A" w:rsidRPr="0073100A">
        <w:rPr>
          <w:rStyle w:val="Typewriter"/>
          <w:rFonts w:ascii="Times New Roman" w:hAnsi="Times New Roman" w:cs="Times New Roman"/>
          <w:sz w:val="24"/>
          <w:szCs w:val="24"/>
        </w:rPr>
        <w:t xml:space="preserve">Konstitucijos komisijos </w:t>
      </w:r>
      <w:r w:rsidR="0073100A" w:rsidRPr="0073100A">
        <w:rPr>
          <w:rFonts w:cs="Times New Roman"/>
          <w:szCs w:val="24"/>
        </w:rPr>
        <w:t>darbo tvarkos taisyklių 4.3 punktu, nusprendė šią peticiją perduoti Konstitucijos komisijai išnagrinėti ir priimti sprendimą.</w:t>
      </w:r>
    </w:p>
    <w:p w:rsidR="0073100A" w:rsidRPr="0073100A" w:rsidRDefault="0073100A" w:rsidP="0073100A">
      <w:pPr>
        <w:rPr>
          <w:rFonts w:cs="Times New Roman"/>
          <w:szCs w:val="24"/>
        </w:rPr>
      </w:pPr>
      <w:r w:rsidRPr="0073100A">
        <w:rPr>
          <w:rFonts w:cs="Times New Roman"/>
          <w:szCs w:val="24"/>
        </w:rPr>
        <w:lastRenderedPageBreak/>
        <w:t xml:space="preserve">Lietuvos Respublikos Konstitucijos 147 straipsnio 1 dalyje yra nustatyta, kad sumanymą keisti ar papildyti Lietuvos Respublikos Konstituciją turi teisę Seimui pateikti ne mažesnė kaip ¼ visų Seimo narių grupė arba ne mažiau kaip 300 tūkst. rinkėjų. </w:t>
      </w:r>
    </w:p>
    <w:p w:rsidR="0073100A" w:rsidRPr="0073100A" w:rsidRDefault="0073100A" w:rsidP="0073100A">
      <w:pPr>
        <w:rPr>
          <w:rFonts w:cs="Times New Roman"/>
          <w:szCs w:val="24"/>
        </w:rPr>
      </w:pPr>
      <w:r w:rsidRPr="0073100A">
        <w:rPr>
          <w:rFonts w:cs="Times New Roman"/>
          <w:szCs w:val="24"/>
        </w:rPr>
        <w:t>Konstitucijos 33 straipsnio 3 dalyje nustatyta, kad piliečiams laiduojama peticijos teisė, kurios įgyvendinimo tvarką nustato įstatymas.</w:t>
      </w:r>
    </w:p>
    <w:p w:rsidR="0073100A" w:rsidRPr="0073100A" w:rsidRDefault="0073100A" w:rsidP="0073100A">
      <w:pPr>
        <w:rPr>
          <w:rStyle w:val="Typewriter"/>
          <w:rFonts w:ascii="Times New Roman" w:hAnsi="Times New Roman" w:cs="Times New Roman"/>
          <w:sz w:val="24"/>
          <w:szCs w:val="24"/>
        </w:rPr>
      </w:pPr>
      <w:r w:rsidRPr="0073100A">
        <w:rPr>
          <w:rFonts w:cs="Times New Roman"/>
          <w:szCs w:val="24"/>
        </w:rPr>
        <w:t xml:space="preserve">Peticijų įstatymo 1 straipsnyje nustatyta, kad Peticijų įstatymas netaikomas, kai piliečiai įgyvendina Konstitucijoje įtvirtintą </w:t>
      </w:r>
      <w:r w:rsidRPr="0073100A">
        <w:rPr>
          <w:rStyle w:val="Typewriter"/>
          <w:rFonts w:ascii="Times New Roman" w:hAnsi="Times New Roman" w:cs="Times New Roman"/>
          <w:sz w:val="24"/>
          <w:szCs w:val="24"/>
        </w:rPr>
        <w:t>įstatymų leidybos iniciatyvos teisę, referendumo paskelbimo iniciatyvos teisę, valstybės įstaigų ar pareigūnų darbo kritikos teisę. Peticijų įstatymas nereglamentuoja skundų, pareiškimų ir pasiūlymų nagrinėjimo tvarkos, kurią nustato kiti įstatymai ir teisės aktai.</w:t>
      </w:r>
    </w:p>
    <w:p w:rsidR="0073100A" w:rsidRDefault="0073100A" w:rsidP="0073100A">
      <w:pPr>
        <w:rPr>
          <w:rFonts w:cs="Times New Roman"/>
          <w:szCs w:val="24"/>
        </w:rPr>
      </w:pPr>
      <w:r w:rsidRPr="0073100A">
        <w:rPr>
          <w:rStyle w:val="Typewriter"/>
          <w:rFonts w:ascii="Times New Roman" w:hAnsi="Times New Roman" w:cs="Times New Roman"/>
          <w:sz w:val="24"/>
          <w:szCs w:val="24"/>
        </w:rPr>
        <w:t xml:space="preserve">Seimo Konstitucijos komisijos </w:t>
      </w:r>
      <w:r w:rsidRPr="0073100A">
        <w:rPr>
          <w:rFonts w:cs="Times New Roman"/>
          <w:szCs w:val="24"/>
        </w:rPr>
        <w:t>darbo tvarkos taisyklių 4.3 punkto yra nustatyta, kad ji nagrinėja Komisijoje gautus pasiūlymus keisti arba papildyti Lietuvos Respublikos Konstituciją.</w:t>
      </w:r>
      <w:r w:rsidRPr="0073100A">
        <w:rPr>
          <w:rFonts w:cs="Times New Roman"/>
          <w:szCs w:val="24"/>
        </w:rPr>
        <w:tab/>
        <w:t xml:space="preserve">Atsižvelgusi į tai ir vadovaudamasi Konstitucijos 147 straipsnio 1 dalimi, Peticijų įstatymo 1 straipsniu ir </w:t>
      </w:r>
      <w:r w:rsidRPr="0073100A">
        <w:rPr>
          <w:rStyle w:val="Typewriter"/>
          <w:rFonts w:ascii="Times New Roman" w:hAnsi="Times New Roman" w:cs="Times New Roman"/>
          <w:sz w:val="24"/>
          <w:szCs w:val="24"/>
        </w:rPr>
        <w:t xml:space="preserve">Konstitucijos komisijos </w:t>
      </w:r>
      <w:r w:rsidRPr="0073100A">
        <w:rPr>
          <w:rFonts w:cs="Times New Roman"/>
          <w:szCs w:val="24"/>
        </w:rPr>
        <w:t xml:space="preserve">darbo tvarkos taisyklių 4.3 punktu, Komisija nusprendė </w:t>
      </w:r>
      <w:r>
        <w:rPr>
          <w:rFonts w:cs="Times New Roman"/>
          <w:szCs w:val="24"/>
        </w:rPr>
        <w:t xml:space="preserve">Sauliaus Arlausko ir kitų pareiškėjų </w:t>
      </w:r>
      <w:r w:rsidRPr="0073100A">
        <w:rPr>
          <w:rFonts w:cs="Times New Roman"/>
          <w:szCs w:val="24"/>
        </w:rPr>
        <w:t>peticiją perduoti Konstitucijos komisijai išnagrinėti ir priimti sprendimą.</w:t>
      </w:r>
    </w:p>
    <w:p w:rsidR="004575E0" w:rsidRDefault="0073100A" w:rsidP="004575E0">
      <w:pPr>
        <w:rPr>
          <w:szCs w:val="24"/>
        </w:rPr>
      </w:pPr>
      <w:r>
        <w:rPr>
          <w:rFonts w:cs="Times New Roman"/>
          <w:szCs w:val="24"/>
        </w:rPr>
        <w:t xml:space="preserve">4. </w:t>
      </w:r>
      <w:r w:rsidR="004575E0">
        <w:rPr>
          <w:szCs w:val="24"/>
        </w:rPr>
        <w:t xml:space="preserve">Komisija, vadovaudamasi </w:t>
      </w:r>
      <w:r w:rsidR="004575E0">
        <w:t>Lietuvos Respublikos p</w:t>
      </w:r>
      <w:r w:rsidR="004575E0">
        <w:rPr>
          <w:szCs w:val="24"/>
        </w:rPr>
        <w:t xml:space="preserve">eticijų įstatymo 10 straipsnio 2 dalimi ir Komisijos nuostatų 32 punktu, nusprendė laikyti </w:t>
      </w:r>
      <w:r w:rsidR="00B524E3">
        <w:rPr>
          <w:szCs w:val="24"/>
        </w:rPr>
        <w:t xml:space="preserve">Romualdo </w:t>
      </w:r>
      <w:proofErr w:type="spellStart"/>
      <w:r w:rsidR="004575E0">
        <w:rPr>
          <w:szCs w:val="24"/>
        </w:rPr>
        <w:t>Stralkaus</w:t>
      </w:r>
      <w:proofErr w:type="spellEnd"/>
      <w:r w:rsidR="004575E0">
        <w:rPr>
          <w:szCs w:val="24"/>
        </w:rPr>
        <w:t xml:space="preserve"> skundą nepaduotu.</w:t>
      </w:r>
    </w:p>
    <w:p w:rsidR="0073100A" w:rsidRPr="0073100A" w:rsidRDefault="0073100A" w:rsidP="0073100A">
      <w:pPr>
        <w:rPr>
          <w:rFonts w:cs="Times New Roman"/>
          <w:szCs w:val="24"/>
        </w:rPr>
      </w:pPr>
    </w:p>
    <w:p w:rsidR="00477280" w:rsidRPr="0025634D" w:rsidRDefault="00477280" w:rsidP="00477280">
      <w:pPr>
        <w:ind w:firstLine="0"/>
        <w:rPr>
          <w:rFonts w:cs="Times New Roman"/>
          <w:szCs w:val="24"/>
        </w:rPr>
      </w:pPr>
      <w:r w:rsidRPr="0025634D">
        <w:rPr>
          <w:rFonts w:cs="Times New Roman"/>
          <w:szCs w:val="24"/>
        </w:rPr>
        <w:t xml:space="preserve">Komisijų biuro patarėja Janina </w:t>
      </w:r>
      <w:proofErr w:type="spellStart"/>
      <w:r w:rsidRPr="0025634D">
        <w:rPr>
          <w:rFonts w:cs="Times New Roman"/>
          <w:szCs w:val="24"/>
        </w:rPr>
        <w:t>Šniaukštienė</w:t>
      </w:r>
      <w:proofErr w:type="spellEnd"/>
      <w:r w:rsidRPr="0025634D">
        <w:rPr>
          <w:rFonts w:cs="Times New Roman"/>
          <w:szCs w:val="24"/>
        </w:rPr>
        <w:t>, tel. (8 5) 239 6819, el. p. jasnia@lrs.lt</w:t>
      </w:r>
    </w:p>
    <w:p w:rsidR="00217183" w:rsidRPr="0073100A" w:rsidRDefault="00217183" w:rsidP="0073100A">
      <w:pPr>
        <w:rPr>
          <w:rFonts w:cs="Times New Roman"/>
          <w:szCs w:val="24"/>
        </w:rPr>
      </w:pPr>
    </w:p>
    <w:sectPr w:rsidR="00217183" w:rsidRPr="0073100A" w:rsidSect="00236D6B">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7C12" w:rsidRDefault="00DD7C12" w:rsidP="00236D6B">
      <w:pPr>
        <w:spacing w:line="240" w:lineRule="auto"/>
      </w:pPr>
      <w:r>
        <w:separator/>
      </w:r>
    </w:p>
  </w:endnote>
  <w:endnote w:type="continuationSeparator" w:id="0">
    <w:p w:rsidR="00DD7C12" w:rsidRDefault="00DD7C12" w:rsidP="00236D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Courier New">
    <w:panose1 w:val="02070309020205020404"/>
    <w:charset w:val="BA"/>
    <w:family w:val="modern"/>
    <w:pitch w:val="fixed"/>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imesNewRomanPSMT">
    <w:altName w:val="MS Mincho"/>
    <w:panose1 w:val="00000000000000000000"/>
    <w:charset w:val="80"/>
    <w:family w:val="auto"/>
    <w:notTrueType/>
    <w:pitch w:val="default"/>
    <w:sig w:usb0="00000005" w:usb1="08070000" w:usb2="00000010" w:usb3="00000000" w:csb0="00020002" w:csb1="00000000"/>
  </w:font>
  <w:font w:name="ArialMT">
    <w:altName w:val="MS Mincho"/>
    <w:panose1 w:val="00000000000000000000"/>
    <w:charset w:val="80"/>
    <w:family w:val="auto"/>
    <w:notTrueType/>
    <w:pitch w:val="default"/>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7C12" w:rsidRDefault="00DD7C12" w:rsidP="00236D6B">
      <w:pPr>
        <w:spacing w:line="240" w:lineRule="auto"/>
      </w:pPr>
      <w:r>
        <w:separator/>
      </w:r>
    </w:p>
  </w:footnote>
  <w:footnote w:type="continuationSeparator" w:id="0">
    <w:p w:rsidR="00DD7C12" w:rsidRDefault="00DD7C12" w:rsidP="00236D6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5337790"/>
      <w:docPartObj>
        <w:docPartGallery w:val="Page Numbers (Top of Page)"/>
        <w:docPartUnique/>
      </w:docPartObj>
    </w:sdtPr>
    <w:sdtEndPr/>
    <w:sdtContent>
      <w:p w:rsidR="00236D6B" w:rsidRDefault="00236D6B">
        <w:pPr>
          <w:pStyle w:val="Antrats"/>
          <w:jc w:val="center"/>
        </w:pPr>
        <w:r>
          <w:fldChar w:fldCharType="begin"/>
        </w:r>
        <w:r>
          <w:instrText>PAGE   \* MERGEFORMAT</w:instrText>
        </w:r>
        <w:r>
          <w:fldChar w:fldCharType="separate"/>
        </w:r>
        <w:r w:rsidR="0069077F">
          <w:rPr>
            <w:noProof/>
          </w:rPr>
          <w:t>5</w:t>
        </w:r>
        <w:r>
          <w:fldChar w:fldCharType="end"/>
        </w:r>
      </w:p>
    </w:sdtContent>
  </w:sdt>
  <w:p w:rsidR="00236D6B" w:rsidRDefault="00236D6B">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C12"/>
    <w:rsid w:val="00050041"/>
    <w:rsid w:val="001A47A9"/>
    <w:rsid w:val="001B7DD8"/>
    <w:rsid w:val="00217183"/>
    <w:rsid w:val="00236D6B"/>
    <w:rsid w:val="004415F9"/>
    <w:rsid w:val="004575E0"/>
    <w:rsid w:val="00464771"/>
    <w:rsid w:val="00477280"/>
    <w:rsid w:val="004A3875"/>
    <w:rsid w:val="004B6F32"/>
    <w:rsid w:val="005D61C5"/>
    <w:rsid w:val="0069077F"/>
    <w:rsid w:val="0073100A"/>
    <w:rsid w:val="00755752"/>
    <w:rsid w:val="007D2A81"/>
    <w:rsid w:val="00851E02"/>
    <w:rsid w:val="00887561"/>
    <w:rsid w:val="008B3C0F"/>
    <w:rsid w:val="00902A3C"/>
    <w:rsid w:val="00B36D6A"/>
    <w:rsid w:val="00B524E3"/>
    <w:rsid w:val="00C234DD"/>
    <w:rsid w:val="00C26569"/>
    <w:rsid w:val="00CE336C"/>
    <w:rsid w:val="00D52531"/>
    <w:rsid w:val="00D84D11"/>
    <w:rsid w:val="00D8572A"/>
    <w:rsid w:val="00DD7C12"/>
    <w:rsid w:val="00DF14B6"/>
    <w:rsid w:val="00F4614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DD7C12"/>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 w:type="character" w:customStyle="1" w:styleId="Typewriter">
    <w:name w:val="Typewriter"/>
    <w:rsid w:val="0073100A"/>
    <w:rPr>
      <w:rFonts w:ascii="Courier New" w:hAnsi="Courier New"/>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DD7C12"/>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 w:type="character" w:customStyle="1" w:styleId="Typewriter">
    <w:name w:val="Typewriter"/>
    <w:rsid w:val="0073100A"/>
    <w:rPr>
      <w:rFonts w:ascii="Courier New" w:hAnsi="Courier New"/>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TotalTime>
  <Pages>5</Pages>
  <Words>8717</Words>
  <Characters>4969</Characters>
  <Application>Microsoft Office Word</Application>
  <DocSecurity>0</DocSecurity>
  <Lines>41</Lines>
  <Paragraphs>27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12</cp:revision>
  <dcterms:created xsi:type="dcterms:W3CDTF">2015-11-30T12:08:00Z</dcterms:created>
  <dcterms:modified xsi:type="dcterms:W3CDTF">2015-12-03T07:05:00Z</dcterms:modified>
</cp:coreProperties>
</file>