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333C" w:rsidRPr="00A8333C" w:rsidRDefault="00A8333C" w:rsidP="00A8333C">
      <w:pPr>
        <w:ind w:firstLine="851"/>
        <w:jc w:val="center"/>
        <w:rPr>
          <w:b/>
          <w:szCs w:val="24"/>
        </w:rPr>
      </w:pPr>
      <w:bookmarkStart w:id="0" w:name="_GoBack"/>
      <w:bookmarkEnd w:id="0"/>
      <w:r w:rsidRPr="00A8333C">
        <w:rPr>
          <w:b/>
          <w:szCs w:val="24"/>
        </w:rPr>
        <w:t>KVALIFIKACIJOS TOBULINIMO UŽSIENYJE ATASKAITA</w:t>
      </w:r>
    </w:p>
    <w:p w:rsidR="00A8333C" w:rsidRPr="00A8333C" w:rsidRDefault="00A8333C" w:rsidP="00A8333C">
      <w:pPr>
        <w:ind w:firstLine="851"/>
        <w:jc w:val="center"/>
        <w:rPr>
          <w:b/>
          <w:szCs w:val="24"/>
        </w:rPr>
      </w:pPr>
      <w:r>
        <w:rPr>
          <w:b/>
          <w:szCs w:val="24"/>
        </w:rPr>
        <w:t>2015-11-04</w:t>
      </w:r>
    </w:p>
    <w:p w:rsidR="00A8333C" w:rsidRPr="00A8333C" w:rsidRDefault="00A8333C" w:rsidP="00A8333C">
      <w:pPr>
        <w:ind w:firstLine="851"/>
        <w:jc w:val="center"/>
        <w:rPr>
          <w:b/>
          <w:szCs w:val="24"/>
        </w:rPr>
      </w:pPr>
      <w:r w:rsidRPr="00A8333C">
        <w:rPr>
          <w:b/>
          <w:szCs w:val="24"/>
        </w:rPr>
        <w:t>Vilnius</w:t>
      </w:r>
    </w:p>
    <w:p w:rsidR="00A8333C" w:rsidRPr="00A8333C" w:rsidRDefault="00A8333C" w:rsidP="00A8333C">
      <w:pPr>
        <w:ind w:firstLine="0"/>
        <w:rPr>
          <w:rFonts w:cs="Times New Roman"/>
          <w:szCs w:val="24"/>
        </w:rPr>
      </w:pPr>
      <w:r w:rsidRPr="00A8333C">
        <w:rPr>
          <w:rFonts w:cs="Times New Roman"/>
          <w:b/>
          <w:szCs w:val="24"/>
        </w:rPr>
        <w:t>Ataskaitą pateikė</w:t>
      </w:r>
      <w:r w:rsidRPr="00A8333C">
        <w:rPr>
          <w:rFonts w:cs="Times New Roman"/>
          <w:szCs w:val="24"/>
        </w:rPr>
        <w:t xml:space="preserve">: </w:t>
      </w:r>
      <w:r>
        <w:rPr>
          <w:rFonts w:cs="Times New Roman"/>
          <w:szCs w:val="24"/>
        </w:rPr>
        <w:t xml:space="preserve">Lietuvos Respublikos </w:t>
      </w:r>
      <w:r w:rsidRPr="00A8333C">
        <w:rPr>
          <w:rFonts w:cs="Times New Roman"/>
          <w:szCs w:val="24"/>
        </w:rPr>
        <w:t xml:space="preserve">Seimo žmogaus teisių komiteto  biuro patarėja (ES) Rūta </w:t>
      </w:r>
      <w:proofErr w:type="spellStart"/>
      <w:r w:rsidRPr="00A8333C">
        <w:rPr>
          <w:rFonts w:cs="Times New Roman"/>
          <w:szCs w:val="24"/>
        </w:rPr>
        <w:t>Ragaliauskienė</w:t>
      </w:r>
      <w:proofErr w:type="spellEnd"/>
      <w:r w:rsidRPr="00A8333C">
        <w:rPr>
          <w:rFonts w:cs="Times New Roman"/>
          <w:szCs w:val="24"/>
        </w:rPr>
        <w:t>.</w:t>
      </w:r>
    </w:p>
    <w:p w:rsidR="00A8333C" w:rsidRPr="00A8333C" w:rsidRDefault="00A8333C" w:rsidP="00A8333C">
      <w:pPr>
        <w:tabs>
          <w:tab w:val="right" w:pos="5018"/>
          <w:tab w:val="left" w:pos="5185"/>
        </w:tabs>
        <w:ind w:firstLine="0"/>
        <w:rPr>
          <w:rFonts w:cs="Times New Roman"/>
          <w:szCs w:val="24"/>
        </w:rPr>
      </w:pPr>
      <w:r w:rsidRPr="00A8333C">
        <w:rPr>
          <w:rFonts w:cs="Times New Roman"/>
          <w:b/>
          <w:szCs w:val="24"/>
        </w:rPr>
        <w:t xml:space="preserve">Pagrindas: </w:t>
      </w:r>
      <w:r w:rsidRPr="00A8333C">
        <w:rPr>
          <w:rFonts w:cs="Times New Roman"/>
          <w:szCs w:val="24"/>
        </w:rPr>
        <w:t xml:space="preserve">2015 m. spalio16 d. </w:t>
      </w:r>
      <w:r w:rsidRPr="00A8333C">
        <w:rPr>
          <w:rFonts w:cs="Times New Roman"/>
          <w:bCs/>
          <w:szCs w:val="24"/>
        </w:rPr>
        <w:t xml:space="preserve">Seimo kanclerio įsakymas </w:t>
      </w:r>
      <w:r w:rsidRPr="00A8333C">
        <w:rPr>
          <w:rFonts w:cs="Times New Roman"/>
          <w:szCs w:val="24"/>
        </w:rPr>
        <w:t>Nr. 460-KT-22.</w:t>
      </w:r>
    </w:p>
    <w:p w:rsidR="00A8333C" w:rsidRPr="00A8333C" w:rsidRDefault="00A8333C" w:rsidP="00A8333C">
      <w:pPr>
        <w:ind w:firstLine="0"/>
        <w:rPr>
          <w:rFonts w:cs="Times New Roman"/>
          <w:szCs w:val="24"/>
        </w:rPr>
      </w:pPr>
      <w:r w:rsidRPr="00A8333C">
        <w:rPr>
          <w:rFonts w:cs="Times New Roman"/>
          <w:b/>
          <w:szCs w:val="24"/>
        </w:rPr>
        <w:t xml:space="preserve">Vieta: </w:t>
      </w:r>
      <w:r w:rsidRPr="00A8333C">
        <w:rPr>
          <w:rFonts w:cs="Times New Roman"/>
          <w:szCs w:val="24"/>
        </w:rPr>
        <w:t>Europos Žmogaus Teisių Teismas, Strasbūras (Prancūzijos Respublika).</w:t>
      </w:r>
    </w:p>
    <w:p w:rsidR="00A8333C" w:rsidRPr="00A8333C" w:rsidRDefault="00A8333C" w:rsidP="00A8333C">
      <w:pPr>
        <w:ind w:firstLine="0"/>
        <w:rPr>
          <w:rFonts w:cs="Times New Roman"/>
          <w:szCs w:val="24"/>
        </w:rPr>
      </w:pPr>
      <w:r w:rsidRPr="00A8333C">
        <w:rPr>
          <w:rFonts w:cs="Times New Roman"/>
          <w:b/>
          <w:szCs w:val="24"/>
        </w:rPr>
        <w:t xml:space="preserve">Data: </w:t>
      </w:r>
      <w:r w:rsidRPr="00A8333C">
        <w:rPr>
          <w:rFonts w:cs="Times New Roman"/>
          <w:szCs w:val="24"/>
        </w:rPr>
        <w:t xml:space="preserve">2015 m. spalio 20-22 d. </w:t>
      </w:r>
    </w:p>
    <w:p w:rsidR="00A8333C" w:rsidRPr="00A8333C" w:rsidRDefault="00A8333C" w:rsidP="00A8333C">
      <w:pPr>
        <w:ind w:firstLine="0"/>
        <w:rPr>
          <w:rFonts w:eastAsia="Times New Roman" w:cs="Times New Roman"/>
          <w:szCs w:val="24"/>
        </w:rPr>
      </w:pPr>
      <w:r w:rsidRPr="00A8333C">
        <w:rPr>
          <w:rFonts w:cs="Times New Roman"/>
          <w:b/>
          <w:szCs w:val="24"/>
        </w:rPr>
        <w:t xml:space="preserve">Tikslas: </w:t>
      </w:r>
      <w:r w:rsidRPr="00A8333C">
        <w:rPr>
          <w:rFonts w:eastAsia="Times New Roman" w:cs="Times New Roman"/>
          <w:szCs w:val="24"/>
        </w:rPr>
        <w:t xml:space="preserve">Kartu su Seimo Žmogaus teisių komiteto nariais susipažinti su Europos Žmogaus Teisių Teismo darbo specifika, stebėti Europos Žmogaus Teisių Teisme svarstomos bylos  </w:t>
      </w:r>
      <w:proofErr w:type="spellStart"/>
      <w:r w:rsidRPr="00A8333C">
        <w:rPr>
          <w:rFonts w:eastAsia="Times New Roman" w:cs="Times New Roman"/>
          <w:i/>
          <w:szCs w:val="24"/>
        </w:rPr>
        <w:t>Hutchinson</w:t>
      </w:r>
      <w:proofErr w:type="spellEnd"/>
      <w:r w:rsidRPr="00A8333C">
        <w:rPr>
          <w:rFonts w:eastAsia="Times New Roman" w:cs="Times New Roman"/>
          <w:i/>
          <w:szCs w:val="24"/>
        </w:rPr>
        <w:t xml:space="preserve"> v. </w:t>
      </w:r>
      <w:proofErr w:type="spellStart"/>
      <w:r w:rsidRPr="00A8333C">
        <w:rPr>
          <w:rFonts w:eastAsia="Times New Roman" w:cs="Times New Roman"/>
          <w:i/>
          <w:szCs w:val="24"/>
        </w:rPr>
        <w:t>the</w:t>
      </w:r>
      <w:proofErr w:type="spellEnd"/>
      <w:r w:rsidRPr="00A8333C">
        <w:rPr>
          <w:rFonts w:eastAsia="Times New Roman" w:cs="Times New Roman"/>
          <w:i/>
          <w:szCs w:val="24"/>
        </w:rPr>
        <w:t xml:space="preserve"> </w:t>
      </w:r>
      <w:proofErr w:type="spellStart"/>
      <w:r w:rsidRPr="00A8333C">
        <w:rPr>
          <w:rFonts w:eastAsia="Times New Roman" w:cs="Times New Roman"/>
          <w:i/>
          <w:szCs w:val="24"/>
        </w:rPr>
        <w:t>United</w:t>
      </w:r>
      <w:proofErr w:type="spellEnd"/>
      <w:r w:rsidRPr="00A8333C">
        <w:rPr>
          <w:rFonts w:eastAsia="Times New Roman" w:cs="Times New Roman"/>
          <w:i/>
          <w:szCs w:val="24"/>
        </w:rPr>
        <w:t xml:space="preserve"> </w:t>
      </w:r>
      <w:proofErr w:type="spellStart"/>
      <w:r w:rsidRPr="00A8333C">
        <w:rPr>
          <w:rFonts w:eastAsia="Times New Roman" w:cs="Times New Roman"/>
          <w:i/>
          <w:szCs w:val="24"/>
        </w:rPr>
        <w:t>Kingdom</w:t>
      </w:r>
      <w:proofErr w:type="spellEnd"/>
      <w:r w:rsidRPr="00A8333C">
        <w:rPr>
          <w:rFonts w:eastAsia="Times New Roman" w:cs="Times New Roman"/>
          <w:szCs w:val="24"/>
        </w:rPr>
        <w:t xml:space="preserve"> (</w:t>
      </w:r>
      <w:proofErr w:type="spellStart"/>
      <w:r w:rsidRPr="00A8333C">
        <w:rPr>
          <w:rFonts w:eastAsia="Times New Roman" w:cs="Times New Roman"/>
          <w:szCs w:val="24"/>
        </w:rPr>
        <w:t>no</w:t>
      </w:r>
      <w:proofErr w:type="spellEnd"/>
      <w:r w:rsidRPr="00A8333C">
        <w:rPr>
          <w:rFonts w:eastAsia="Times New Roman" w:cs="Times New Roman"/>
          <w:szCs w:val="24"/>
        </w:rPr>
        <w:t>. 57592/08) dėl iki gyvos galvos nuteistojo skundo, aptarti EŽTT priimtų sprendimų vykdymo problemas.</w:t>
      </w:r>
    </w:p>
    <w:p w:rsidR="00A8333C" w:rsidRPr="00A8333C" w:rsidRDefault="00A8333C" w:rsidP="00A8333C">
      <w:pPr>
        <w:ind w:firstLine="0"/>
        <w:rPr>
          <w:rFonts w:cs="Times New Roman"/>
          <w:i/>
          <w:szCs w:val="24"/>
        </w:rPr>
      </w:pPr>
      <w:r w:rsidRPr="00A8333C">
        <w:rPr>
          <w:rFonts w:cs="Times New Roman"/>
          <w:b/>
          <w:szCs w:val="24"/>
        </w:rPr>
        <w:t xml:space="preserve">Finansavimo šaltinis:  </w:t>
      </w:r>
      <w:r w:rsidRPr="00A8333C">
        <w:rPr>
          <w:rFonts w:cs="Times New Roman"/>
          <w:szCs w:val="24"/>
        </w:rPr>
        <w:t>Lietuvos Respublikos Seimo kanceliarija.</w:t>
      </w:r>
    </w:p>
    <w:p w:rsidR="00A8333C" w:rsidRPr="00A8333C" w:rsidRDefault="00A8333C" w:rsidP="00A8333C">
      <w:pPr>
        <w:ind w:firstLine="0"/>
        <w:rPr>
          <w:rFonts w:cs="Times New Roman"/>
          <w:b/>
          <w:szCs w:val="24"/>
        </w:rPr>
      </w:pPr>
      <w:r w:rsidRPr="00A8333C">
        <w:rPr>
          <w:rFonts w:cs="Times New Roman"/>
          <w:b/>
          <w:szCs w:val="24"/>
        </w:rPr>
        <w:t xml:space="preserve">Nagrinėtos temos: </w:t>
      </w:r>
    </w:p>
    <w:p w:rsidR="00633F2E" w:rsidRPr="00A8333C" w:rsidRDefault="00DC511E" w:rsidP="00A8333C">
      <w:pPr>
        <w:numPr>
          <w:ilvl w:val="0"/>
          <w:numId w:val="2"/>
        </w:numPr>
        <w:jc w:val="left"/>
        <w:rPr>
          <w:rFonts w:eastAsia="Times New Roman" w:cs="Times New Roman"/>
          <w:szCs w:val="24"/>
        </w:rPr>
      </w:pPr>
      <w:r w:rsidRPr="00A8333C">
        <w:rPr>
          <w:rFonts w:eastAsia="Times New Roman" w:cs="Times New Roman"/>
          <w:szCs w:val="24"/>
        </w:rPr>
        <w:t>Europos Žmogaus Teisių Teismo darbo specifika.</w:t>
      </w:r>
    </w:p>
    <w:p w:rsidR="00DC511E" w:rsidRPr="00A8333C" w:rsidRDefault="00DC511E" w:rsidP="00A8333C">
      <w:pPr>
        <w:numPr>
          <w:ilvl w:val="0"/>
          <w:numId w:val="2"/>
        </w:numPr>
        <w:jc w:val="left"/>
        <w:rPr>
          <w:rFonts w:eastAsia="Times New Roman" w:cs="Times New Roman"/>
          <w:szCs w:val="24"/>
        </w:rPr>
      </w:pPr>
      <w:r w:rsidRPr="00A8333C">
        <w:rPr>
          <w:rFonts w:eastAsia="Times New Roman" w:cs="Times New Roman"/>
          <w:szCs w:val="24"/>
        </w:rPr>
        <w:t>Peticijų priimtinumas.</w:t>
      </w:r>
    </w:p>
    <w:p w:rsidR="00DC511E" w:rsidRPr="00A8333C" w:rsidRDefault="00DC511E" w:rsidP="00A8333C">
      <w:pPr>
        <w:numPr>
          <w:ilvl w:val="0"/>
          <w:numId w:val="2"/>
        </w:numPr>
        <w:jc w:val="left"/>
        <w:rPr>
          <w:rFonts w:eastAsia="Times New Roman" w:cs="Times New Roman"/>
          <w:szCs w:val="24"/>
        </w:rPr>
      </w:pPr>
      <w:r w:rsidRPr="00A8333C">
        <w:rPr>
          <w:rFonts w:eastAsia="Times New Roman" w:cs="Times New Roman"/>
          <w:szCs w:val="24"/>
        </w:rPr>
        <w:t>Europos Žmogaus Teisių Teismo sprendimų vykdymo priežiūra.</w:t>
      </w:r>
    </w:p>
    <w:p w:rsidR="00DC511E" w:rsidRPr="00A8333C" w:rsidRDefault="00B32EE3" w:rsidP="00A8333C">
      <w:pPr>
        <w:numPr>
          <w:ilvl w:val="0"/>
          <w:numId w:val="2"/>
        </w:numPr>
        <w:jc w:val="left"/>
        <w:rPr>
          <w:rFonts w:eastAsia="Times New Roman" w:cs="Times New Roman"/>
          <w:szCs w:val="24"/>
        </w:rPr>
      </w:pPr>
      <w:r w:rsidRPr="00A8333C">
        <w:rPr>
          <w:rFonts w:eastAsia="Times New Roman" w:cs="Times New Roman"/>
          <w:szCs w:val="24"/>
        </w:rPr>
        <w:t xml:space="preserve">Europos Žmogaus Teisių Teisme svarstomos bylos  </w:t>
      </w:r>
      <w:proofErr w:type="spellStart"/>
      <w:r w:rsidRPr="00A8333C">
        <w:rPr>
          <w:rFonts w:eastAsia="Times New Roman" w:cs="Times New Roman"/>
          <w:i/>
          <w:szCs w:val="24"/>
        </w:rPr>
        <w:t>Hutchinson</w:t>
      </w:r>
      <w:proofErr w:type="spellEnd"/>
      <w:r w:rsidRPr="00A8333C">
        <w:rPr>
          <w:rFonts w:eastAsia="Times New Roman" w:cs="Times New Roman"/>
          <w:i/>
          <w:szCs w:val="24"/>
        </w:rPr>
        <w:t xml:space="preserve"> v. </w:t>
      </w:r>
      <w:proofErr w:type="spellStart"/>
      <w:r w:rsidRPr="00A8333C">
        <w:rPr>
          <w:rFonts w:eastAsia="Times New Roman" w:cs="Times New Roman"/>
          <w:i/>
          <w:szCs w:val="24"/>
        </w:rPr>
        <w:t>the</w:t>
      </w:r>
      <w:proofErr w:type="spellEnd"/>
      <w:r w:rsidRPr="00A8333C">
        <w:rPr>
          <w:rFonts w:eastAsia="Times New Roman" w:cs="Times New Roman"/>
          <w:i/>
          <w:szCs w:val="24"/>
        </w:rPr>
        <w:t xml:space="preserve"> </w:t>
      </w:r>
      <w:proofErr w:type="spellStart"/>
      <w:r w:rsidRPr="00A8333C">
        <w:rPr>
          <w:rFonts w:eastAsia="Times New Roman" w:cs="Times New Roman"/>
          <w:i/>
          <w:szCs w:val="24"/>
        </w:rPr>
        <w:t>United</w:t>
      </w:r>
      <w:proofErr w:type="spellEnd"/>
      <w:r w:rsidRPr="00A8333C">
        <w:rPr>
          <w:rFonts w:eastAsia="Times New Roman" w:cs="Times New Roman"/>
          <w:i/>
          <w:szCs w:val="24"/>
        </w:rPr>
        <w:t xml:space="preserve"> </w:t>
      </w:r>
      <w:proofErr w:type="spellStart"/>
      <w:r w:rsidRPr="00A8333C">
        <w:rPr>
          <w:rFonts w:eastAsia="Times New Roman" w:cs="Times New Roman"/>
          <w:i/>
          <w:szCs w:val="24"/>
        </w:rPr>
        <w:t>Kingdom</w:t>
      </w:r>
      <w:proofErr w:type="spellEnd"/>
      <w:r w:rsidRPr="00A8333C">
        <w:rPr>
          <w:rFonts w:eastAsia="Times New Roman" w:cs="Times New Roman"/>
          <w:i/>
          <w:szCs w:val="24"/>
        </w:rPr>
        <w:t xml:space="preserve"> (</w:t>
      </w:r>
      <w:proofErr w:type="spellStart"/>
      <w:r w:rsidRPr="00A8333C">
        <w:rPr>
          <w:rFonts w:eastAsia="Times New Roman" w:cs="Times New Roman"/>
          <w:i/>
          <w:szCs w:val="24"/>
        </w:rPr>
        <w:t>no</w:t>
      </w:r>
      <w:proofErr w:type="spellEnd"/>
      <w:r w:rsidRPr="00A8333C">
        <w:rPr>
          <w:rFonts w:eastAsia="Times New Roman" w:cs="Times New Roman"/>
          <w:i/>
          <w:szCs w:val="24"/>
        </w:rPr>
        <w:t>. 57592/08)</w:t>
      </w:r>
      <w:r w:rsidRPr="00A8333C">
        <w:rPr>
          <w:rFonts w:eastAsia="Times New Roman" w:cs="Times New Roman"/>
          <w:szCs w:val="24"/>
        </w:rPr>
        <w:t xml:space="preserve"> stebėjimas</w:t>
      </w:r>
    </w:p>
    <w:p w:rsidR="00633F2E" w:rsidRDefault="00DC511E" w:rsidP="00A8333C">
      <w:pPr>
        <w:ind w:firstLine="0"/>
        <w:rPr>
          <w:rFonts w:eastAsia="Times New Roman" w:cs="Times New Roman"/>
          <w:b/>
          <w:szCs w:val="24"/>
        </w:rPr>
      </w:pPr>
      <w:r w:rsidRPr="00A8333C">
        <w:rPr>
          <w:rFonts w:eastAsia="Times New Roman" w:cs="Times New Roman"/>
          <w:b/>
          <w:szCs w:val="24"/>
        </w:rPr>
        <w:t>Įvykę susitikimai ir aptarti klausimai:</w:t>
      </w:r>
    </w:p>
    <w:p w:rsidR="00A8333C" w:rsidRPr="00A8333C" w:rsidRDefault="00A8333C" w:rsidP="00A8333C">
      <w:pPr>
        <w:ind w:firstLine="0"/>
        <w:rPr>
          <w:rFonts w:eastAsia="Times New Roman" w:cs="Times New Roman"/>
          <w:b/>
          <w:szCs w:val="24"/>
        </w:rPr>
      </w:pPr>
    </w:p>
    <w:p w:rsidR="00DC511E" w:rsidRPr="00965B36" w:rsidRDefault="00DC511E" w:rsidP="00DC511E">
      <w:pPr>
        <w:spacing w:line="276" w:lineRule="auto"/>
        <w:ind w:firstLine="0"/>
        <w:jc w:val="center"/>
        <w:rPr>
          <w:rFonts w:eastAsia="Calibri" w:cs="Times New Roman"/>
          <w:bCs/>
          <w:i/>
          <w:szCs w:val="24"/>
        </w:rPr>
      </w:pPr>
      <w:r w:rsidRPr="00965B36">
        <w:rPr>
          <w:rFonts w:eastAsia="Calibri" w:cs="Times New Roman"/>
          <w:bCs/>
          <w:i/>
          <w:szCs w:val="24"/>
        </w:rPr>
        <w:t>Susitikimas su naujai paskirtu Europos Žmogaus Teisių Teismo kancleriu Roderick LIDDELL</w:t>
      </w:r>
    </w:p>
    <w:p w:rsidR="00DC511E" w:rsidRPr="00965B36" w:rsidRDefault="00DC511E" w:rsidP="00DC511E">
      <w:pPr>
        <w:spacing w:line="276" w:lineRule="auto"/>
        <w:rPr>
          <w:rFonts w:eastAsia="Calibri" w:cs="Times New Roman"/>
          <w:bCs/>
          <w:i/>
          <w:szCs w:val="24"/>
        </w:rPr>
      </w:pPr>
    </w:p>
    <w:p w:rsidR="00DC511E" w:rsidRPr="00965B36" w:rsidRDefault="00DC511E" w:rsidP="00DC511E">
      <w:pPr>
        <w:spacing w:line="276" w:lineRule="auto"/>
        <w:ind w:firstLine="851"/>
        <w:rPr>
          <w:rFonts w:eastAsia="Calibri" w:cs="Times New Roman"/>
          <w:bCs/>
          <w:szCs w:val="24"/>
        </w:rPr>
      </w:pPr>
      <w:r w:rsidRPr="00965B36">
        <w:rPr>
          <w:rFonts w:eastAsia="Times New Roman" w:cs="Times New Roman"/>
          <w:bCs/>
          <w:szCs w:val="24"/>
          <w:lang w:eastAsia="lt-LT"/>
        </w:rPr>
        <w:t xml:space="preserve">Prof.  dr. Egidijus Kūris pristatė Seimo žmogaus teisių komiteto delegacijai naujai išrinktą </w:t>
      </w:r>
      <w:r w:rsidRPr="00965B36">
        <w:rPr>
          <w:rFonts w:eastAsia="Calibri" w:cs="Times New Roman"/>
          <w:bCs/>
          <w:szCs w:val="24"/>
        </w:rPr>
        <w:t xml:space="preserve">Europos Žmogaus Teisių Teismo  (toliau – EŽTT, Teismas) kanclerį Roderick LIDDELL.  Kancleris yra renkamas plenariniame Teismo posėdyje 5 metų kadencijai, su galimybe būti perrinktam.  </w:t>
      </w:r>
    </w:p>
    <w:p w:rsidR="00DC511E" w:rsidRPr="00965B36" w:rsidRDefault="00DC511E" w:rsidP="00DC511E">
      <w:pPr>
        <w:spacing w:line="276" w:lineRule="auto"/>
        <w:ind w:firstLine="851"/>
        <w:rPr>
          <w:rFonts w:eastAsia="Calibri" w:cs="Times New Roman"/>
          <w:bCs/>
          <w:szCs w:val="24"/>
        </w:rPr>
      </w:pPr>
      <w:r w:rsidRPr="00965B36">
        <w:rPr>
          <w:rFonts w:eastAsia="Calibri" w:cs="Times New Roman"/>
          <w:bCs/>
          <w:szCs w:val="24"/>
        </w:rPr>
        <w:t xml:space="preserve">Teismo kancleris pažymėjo, kad Konvencijos 24 straipsnyje yra numatyta, kad Teismas turi savo kanceliariją, kurios funkcijos ir struktūra nustatoma Teismo reglamente. Teismui vykdyti savo funkcijas padeda pranešėjai, kurie, vykdydami savo funkcijas, yra pavaldūs Teismo pirmininkui. Jie priklauso Teismo kanceliarijai. Kanceliarijoje dirba  apie 650 asmenų, iš kurių  apie 270 yra teisininkai. </w:t>
      </w:r>
    </w:p>
    <w:p w:rsidR="00DC511E" w:rsidRPr="00965B36" w:rsidRDefault="00DC511E" w:rsidP="00DC511E">
      <w:pPr>
        <w:spacing w:line="276" w:lineRule="auto"/>
        <w:ind w:firstLine="851"/>
        <w:rPr>
          <w:rFonts w:eastAsia="Times New Roman" w:cs="Times New Roman"/>
          <w:szCs w:val="24"/>
          <w:lang w:eastAsia="lt-LT"/>
        </w:rPr>
      </w:pPr>
      <w:r w:rsidRPr="00965B36">
        <w:rPr>
          <w:rFonts w:eastAsia="Calibri" w:cs="Times New Roman"/>
          <w:bCs/>
          <w:szCs w:val="24"/>
        </w:rPr>
        <w:t xml:space="preserve"> Teismo Kancleris pirmiausiai priminė Teismo įkūrimo istoriją, kad dabartinis Teismas </w:t>
      </w:r>
      <w:r w:rsidRPr="00965B36">
        <w:rPr>
          <w:rFonts w:eastAsia="Times New Roman" w:cs="Times New Roman"/>
          <w:szCs w:val="24"/>
          <w:lang w:eastAsia="lt-LT"/>
        </w:rPr>
        <w:t>įkurtas pagal 1950 m. Žmogaus teisių ir pagrindinių laisvių apsaugos konvencijos</w:t>
      </w:r>
      <w:r w:rsidR="00B61248" w:rsidRPr="00965B36">
        <w:rPr>
          <w:rFonts w:eastAsia="Times New Roman" w:cs="Times New Roman"/>
          <w:szCs w:val="24"/>
          <w:lang w:eastAsia="lt-LT"/>
        </w:rPr>
        <w:t xml:space="preserve"> (toliau – Konvencija)</w:t>
      </w:r>
      <w:r w:rsidRPr="00965B36">
        <w:rPr>
          <w:rFonts w:eastAsia="Times New Roman" w:cs="Times New Roman"/>
          <w:szCs w:val="24"/>
          <w:lang w:eastAsia="lt-LT"/>
        </w:rPr>
        <w:t xml:space="preserve"> 19 straipsnį. Tačiau pradžioje buvo įkurti du specialūs organai – Komisija ir Teismas, kurie pradėjo savo veiklą atitinkamai 1954 m. ir 1959 m. Senosios Konvencijos mechanizmo sistemos esminis bruožas buvo tas, kad valstybės turėjo atskirais pareiškimais pripažinti Europos Žmogaus Teisių Komisijos kompetenciją nagrinėti bylas prieš juos, taip pat ir Teismo jurisdikciją. Individualios peticijos teisė, buvo tik fakultatyvinio pobūdžio (neprivaloma).  Įsigaliojus 11 </w:t>
      </w:r>
      <w:r w:rsidRPr="00965B36">
        <w:rPr>
          <w:rFonts w:eastAsia="Times New Roman" w:cs="Times New Roman"/>
          <w:szCs w:val="24"/>
          <w:lang w:eastAsia="lt-LT"/>
        </w:rPr>
        <w:lastRenderedPageBreak/>
        <w:t>Protokolui, 1998 m. Komisija buvo panaikinta ir sukurtas nuolat veikiantis Teismas, kurio jurisdikcija privaloma ir jis  turi teisę priimti valstybėms privalomus sprendimus.</w:t>
      </w:r>
    </w:p>
    <w:p w:rsidR="00DC511E" w:rsidRPr="00965B36" w:rsidRDefault="00DC511E" w:rsidP="00DC511E">
      <w:pPr>
        <w:spacing w:line="276" w:lineRule="auto"/>
        <w:ind w:firstLine="851"/>
        <w:rPr>
          <w:rFonts w:eastAsia="Times New Roman" w:cs="Times New Roman"/>
          <w:szCs w:val="24"/>
          <w:lang w:eastAsia="lt-LT"/>
        </w:rPr>
      </w:pPr>
      <w:r w:rsidRPr="00965B36">
        <w:rPr>
          <w:rFonts w:eastAsia="Times New Roman" w:cs="Times New Roman"/>
          <w:szCs w:val="24"/>
          <w:lang w:eastAsia="lt-LT"/>
        </w:rPr>
        <w:t>Valstybių narių, Konvencijos dalyvių</w:t>
      </w:r>
      <w:r w:rsidR="00B61248" w:rsidRPr="00965B36">
        <w:rPr>
          <w:rFonts w:eastAsia="Times New Roman" w:cs="Times New Roman"/>
          <w:szCs w:val="24"/>
          <w:lang w:eastAsia="lt-LT"/>
        </w:rPr>
        <w:t>,</w:t>
      </w:r>
      <w:r w:rsidRPr="00965B36">
        <w:rPr>
          <w:rFonts w:eastAsia="Times New Roman" w:cs="Times New Roman"/>
          <w:szCs w:val="24"/>
          <w:lang w:eastAsia="lt-LT"/>
        </w:rPr>
        <w:t xml:space="preserve"> skaičiui padidėjus iki 47 žymiai išaugo </w:t>
      </w:r>
      <w:r w:rsidR="00B61248" w:rsidRPr="00965B36">
        <w:rPr>
          <w:rFonts w:eastAsia="Times New Roman" w:cs="Times New Roman"/>
          <w:szCs w:val="24"/>
          <w:lang w:eastAsia="lt-LT"/>
        </w:rPr>
        <w:t>peticijų, pateikiamų E</w:t>
      </w:r>
      <w:r w:rsidRPr="00965B36">
        <w:rPr>
          <w:rFonts w:eastAsia="Times New Roman" w:cs="Times New Roman"/>
          <w:szCs w:val="24"/>
          <w:lang w:eastAsia="lt-LT"/>
        </w:rPr>
        <w:t>ŽTT</w:t>
      </w:r>
      <w:r w:rsidR="00B61248" w:rsidRPr="00965B36">
        <w:rPr>
          <w:rFonts w:eastAsia="Times New Roman" w:cs="Times New Roman"/>
          <w:szCs w:val="24"/>
          <w:lang w:eastAsia="lt-LT"/>
        </w:rPr>
        <w:t>,</w:t>
      </w:r>
      <w:r w:rsidRPr="00965B36">
        <w:rPr>
          <w:rFonts w:eastAsia="Times New Roman" w:cs="Times New Roman"/>
          <w:szCs w:val="24"/>
          <w:lang w:eastAsia="lt-LT"/>
        </w:rPr>
        <w:t xml:space="preserve"> skaičius. </w:t>
      </w:r>
      <w:r w:rsidR="00B61248" w:rsidRPr="00965B36">
        <w:rPr>
          <w:rFonts w:eastAsia="Times New Roman" w:cs="Times New Roman"/>
          <w:szCs w:val="24"/>
          <w:lang w:eastAsia="lt-LT"/>
        </w:rPr>
        <w:t>Teismo k</w:t>
      </w:r>
      <w:r w:rsidRPr="00965B36">
        <w:rPr>
          <w:rFonts w:eastAsia="Times New Roman" w:cs="Times New Roman"/>
          <w:szCs w:val="24"/>
          <w:lang w:eastAsia="lt-LT"/>
        </w:rPr>
        <w:t>ancleris pažymėjo, kad nuo Teismo įst</w:t>
      </w:r>
      <w:r w:rsidR="00B61248" w:rsidRPr="00965B36">
        <w:rPr>
          <w:rFonts w:eastAsia="Times New Roman" w:cs="Times New Roman"/>
          <w:szCs w:val="24"/>
          <w:lang w:eastAsia="lt-LT"/>
        </w:rPr>
        <w:t>eigimo 1959 metais beveik pusė T</w:t>
      </w:r>
      <w:r w:rsidRPr="00965B36">
        <w:rPr>
          <w:rFonts w:eastAsia="Times New Roman" w:cs="Times New Roman"/>
          <w:szCs w:val="24"/>
          <w:lang w:eastAsia="lt-LT"/>
        </w:rPr>
        <w:t>eismo priimtų sprendimų buvo prieš 5 šalis nares: Turkiją (3 095), Italiją (2 312), Rusijos Federaciją (91 604), Rumuniją (1 113) ir Lenkiją (1 070).</w:t>
      </w:r>
    </w:p>
    <w:p w:rsidR="00DC511E" w:rsidRPr="00965B36" w:rsidRDefault="00DC511E" w:rsidP="00DC511E">
      <w:pPr>
        <w:spacing w:line="240" w:lineRule="auto"/>
        <w:rPr>
          <w:rFonts w:eastAsia="Times New Roman" w:cs="Times New Roman"/>
          <w:szCs w:val="24"/>
          <w:lang w:eastAsia="lt-LT"/>
        </w:rPr>
      </w:pPr>
      <w:r w:rsidRPr="00965B36">
        <w:rPr>
          <w:rFonts w:eastAsia="Times New Roman" w:cs="Times New Roman"/>
          <w:szCs w:val="24"/>
          <w:lang w:eastAsia="lt-LT"/>
        </w:rPr>
        <w:t xml:space="preserve">2014 m. gruodžio 31 d. duomenimis Teisme iš viso teisminio nagrinėjimo laukė apie  69 900 pareiškimų. Beveik pusė visų pareiškimų  yra pateikta prieš 3 šalis nares: Ukrainą, Italija ir Rusijos Federaciją. </w:t>
      </w:r>
    </w:p>
    <w:p w:rsidR="00DC511E" w:rsidRPr="00965B36" w:rsidRDefault="00DC511E" w:rsidP="00B61248">
      <w:pPr>
        <w:spacing w:line="240" w:lineRule="auto"/>
        <w:rPr>
          <w:rFonts w:eastAsia="Times New Roman" w:cs="Times New Roman"/>
          <w:szCs w:val="24"/>
          <w:lang w:eastAsia="lt-LT"/>
        </w:rPr>
      </w:pPr>
      <w:r w:rsidRPr="00965B36">
        <w:rPr>
          <w:rFonts w:eastAsia="Times New Roman" w:cs="Times New Roman"/>
          <w:szCs w:val="24"/>
          <w:lang w:eastAsia="lt-LT"/>
        </w:rPr>
        <w:t>Trečdalis bylų, kurios buvo išnagrinėtos 2014 metais buvo susiję su trimis valstybėmis narėmis: Rusijos federacija (129), Turkija (101) bei Rumunija (87).</w:t>
      </w:r>
    </w:p>
    <w:p w:rsidR="00DC511E" w:rsidRPr="00965B36" w:rsidRDefault="00DC511E" w:rsidP="00B61248">
      <w:pPr>
        <w:spacing w:line="240" w:lineRule="auto"/>
        <w:rPr>
          <w:rFonts w:eastAsia="Times New Roman" w:cs="Times New Roman"/>
          <w:szCs w:val="24"/>
          <w:lang w:eastAsia="lt-LT"/>
        </w:rPr>
      </w:pPr>
      <w:r w:rsidRPr="00965B36">
        <w:rPr>
          <w:rFonts w:eastAsia="Times New Roman" w:cs="Times New Roman"/>
          <w:szCs w:val="24"/>
          <w:lang w:eastAsia="lt-LT"/>
        </w:rPr>
        <w:t>2014 m. teisme buvo 56 300 peticijų, kurios laukė sprendimo dėl priimtinumo. (Šiame skaičiuje neatsispindi peticijos, kurios buvo pripažintos netinkamomis (</w:t>
      </w:r>
      <w:r w:rsidR="00B61248" w:rsidRPr="00965B36">
        <w:rPr>
          <w:rFonts w:eastAsia="Times New Roman" w:cs="Times New Roman"/>
          <w:szCs w:val="24"/>
          <w:lang w:eastAsia="lt-LT"/>
        </w:rPr>
        <w:t xml:space="preserve">pavyzdžiui, </w:t>
      </w:r>
      <w:r w:rsidRPr="00965B36">
        <w:rPr>
          <w:rFonts w:eastAsia="Times New Roman" w:cs="Times New Roman"/>
          <w:szCs w:val="24"/>
          <w:lang w:eastAsia="lt-LT"/>
        </w:rPr>
        <w:t>netinkamai pateikti dokumentai))</w:t>
      </w:r>
      <w:r w:rsidR="00B61248" w:rsidRPr="00965B36">
        <w:rPr>
          <w:rFonts w:eastAsia="Times New Roman" w:cs="Times New Roman"/>
          <w:szCs w:val="24"/>
          <w:lang w:eastAsia="lt-LT"/>
        </w:rPr>
        <w:t>.</w:t>
      </w:r>
    </w:p>
    <w:p w:rsidR="00B61248" w:rsidRPr="00965B36" w:rsidRDefault="00DC511E" w:rsidP="00B61248">
      <w:pPr>
        <w:spacing w:line="240" w:lineRule="auto"/>
        <w:rPr>
          <w:rFonts w:eastAsia="Times New Roman" w:cs="Times New Roman"/>
          <w:szCs w:val="24"/>
          <w:lang w:eastAsia="lt-LT"/>
        </w:rPr>
      </w:pPr>
      <w:r w:rsidRPr="00965B36">
        <w:rPr>
          <w:rFonts w:eastAsia="Times New Roman" w:cs="Times New Roman"/>
          <w:szCs w:val="24"/>
          <w:lang w:eastAsia="lt-LT"/>
        </w:rPr>
        <w:t>Pastaraisiais metais Teismas daugiau dėmesio skiria sudėtingų bylų nagrinėjimui. Bylas, kuriose keliami tokie patys</w:t>
      </w:r>
      <w:r w:rsidR="00B61248" w:rsidRPr="00965B36">
        <w:rPr>
          <w:rFonts w:eastAsia="Times New Roman" w:cs="Times New Roman"/>
          <w:szCs w:val="24"/>
          <w:lang w:eastAsia="lt-LT"/>
        </w:rPr>
        <w:t xml:space="preserve"> klausimai, T</w:t>
      </w:r>
      <w:r w:rsidRPr="00965B36">
        <w:rPr>
          <w:rFonts w:eastAsia="Times New Roman" w:cs="Times New Roman"/>
          <w:szCs w:val="24"/>
          <w:lang w:eastAsia="lt-LT"/>
        </w:rPr>
        <w:t>eismas sujungia ir dėl jų priima bendrą sprendimą.  Nors pastebima, kad priimtų sprendimų skaičius taip sparčiai nedidėja kaip ankstesniais metais, tačiau Teismas išnagrinėja daugiau peticijų</w:t>
      </w:r>
      <w:r w:rsidR="00B61248" w:rsidRPr="00965B36">
        <w:rPr>
          <w:rFonts w:eastAsia="Times New Roman" w:cs="Times New Roman"/>
          <w:szCs w:val="24"/>
          <w:lang w:eastAsia="lt-LT"/>
        </w:rPr>
        <w:t xml:space="preserve"> nei ankstesniais metais.</w:t>
      </w:r>
    </w:p>
    <w:p w:rsidR="00DC511E" w:rsidRPr="00965B36" w:rsidRDefault="00DC511E" w:rsidP="00B61248">
      <w:pPr>
        <w:spacing w:line="240" w:lineRule="auto"/>
        <w:rPr>
          <w:rFonts w:eastAsia="Times New Roman" w:cs="Times New Roman"/>
          <w:szCs w:val="24"/>
          <w:lang w:eastAsia="lt-LT"/>
        </w:rPr>
      </w:pPr>
      <w:r w:rsidRPr="00965B36">
        <w:rPr>
          <w:rFonts w:eastAsia="Times New Roman" w:cs="Times New Roman"/>
          <w:szCs w:val="24"/>
          <w:lang w:eastAsia="lt-LT"/>
        </w:rPr>
        <w:t>2014 m. Teismas paskelbė 891 sprendimus dėl 2 388 peticijų. Iš viso 2014 metais Teismas priėmė sprendimus dėl 86 063 peticijų priimdamas sprendimus bei  nutarimus, ar nusprendžiant išbraukti peticiją iš peticijų sąrašo.</w:t>
      </w:r>
    </w:p>
    <w:p w:rsidR="00DC511E" w:rsidRPr="00965B36" w:rsidRDefault="00DC511E" w:rsidP="00B61248">
      <w:pPr>
        <w:spacing w:line="240" w:lineRule="auto"/>
        <w:rPr>
          <w:rFonts w:eastAsia="Times New Roman" w:cs="Times New Roman"/>
          <w:szCs w:val="24"/>
          <w:lang w:eastAsia="lt-LT"/>
        </w:rPr>
      </w:pPr>
      <w:r w:rsidRPr="00965B36">
        <w:rPr>
          <w:rFonts w:eastAsia="Times New Roman" w:cs="Times New Roman"/>
          <w:szCs w:val="24"/>
          <w:lang w:eastAsia="lt-LT"/>
        </w:rPr>
        <w:t>2014 m. priimtuose spren</w:t>
      </w:r>
      <w:r w:rsidR="00B61248" w:rsidRPr="00965B36">
        <w:rPr>
          <w:rFonts w:eastAsia="Times New Roman" w:cs="Times New Roman"/>
          <w:szCs w:val="24"/>
          <w:lang w:eastAsia="lt-LT"/>
        </w:rPr>
        <w:t>dimuose, ketvirtadalis</w:t>
      </w:r>
      <w:r w:rsidRPr="00965B36">
        <w:rPr>
          <w:rFonts w:eastAsia="Times New Roman" w:cs="Times New Roman"/>
          <w:szCs w:val="24"/>
          <w:lang w:eastAsia="lt-LT"/>
        </w:rPr>
        <w:t xml:space="preserve"> visų pažeidimų  buvo susiję su 6 Konvencijos straipsniu (teisė į teisingą bylos nagrinėjimą), 17 proc. pažeidimų, kuriuos nustatė Teismas buvo susiję su 5 str. pažeidimu (teisė į laisvė ir saugumą), daugiau nei 25 proc. pažeidimų, kuriuos konstatavo Teismas buvo susiję su 2 ir 3 str. pažeidimais (teisė į gyvybę ir kankinimo uždraudimas).</w:t>
      </w:r>
    </w:p>
    <w:p w:rsidR="00DC511E" w:rsidRPr="00965B36" w:rsidRDefault="00DC511E" w:rsidP="00B61248">
      <w:pPr>
        <w:spacing w:line="240" w:lineRule="auto"/>
        <w:rPr>
          <w:rFonts w:eastAsia="Times New Roman" w:cs="Times New Roman"/>
          <w:szCs w:val="24"/>
          <w:lang w:eastAsia="lt-LT"/>
        </w:rPr>
      </w:pPr>
      <w:r w:rsidRPr="00965B36">
        <w:rPr>
          <w:rFonts w:eastAsia="Times New Roman" w:cs="Times New Roman"/>
          <w:szCs w:val="24"/>
          <w:lang w:eastAsia="lt-LT"/>
        </w:rPr>
        <w:t>2014 m. pateikiamų peticijų prieš Lietuvą skaičius nežymiai sumažėjo nuo 428, pateiktų 2013 m., iki 387, pateiktų 2014 m. Teismo sprendimų ir (arba) nutarimų dėl bylų priimtinumo ir (arba) esmės 2014 m. sulaukta tik 6 bylose.</w:t>
      </w:r>
    </w:p>
    <w:p w:rsidR="00DC511E" w:rsidRPr="00965B36" w:rsidRDefault="00B61248" w:rsidP="00B61248">
      <w:pPr>
        <w:autoSpaceDE w:val="0"/>
        <w:autoSpaceDN w:val="0"/>
        <w:adjustRightInd w:val="0"/>
        <w:spacing w:line="240" w:lineRule="auto"/>
        <w:rPr>
          <w:rFonts w:eastAsia="Calibri" w:cs="Times New Roman"/>
          <w:szCs w:val="24"/>
        </w:rPr>
      </w:pPr>
      <w:r w:rsidRPr="00965B36">
        <w:rPr>
          <w:rFonts w:eastAsia="Calibri" w:cs="Times New Roman"/>
          <w:szCs w:val="24"/>
        </w:rPr>
        <w:t xml:space="preserve">Kancleris pastebėjo, kad laikui bėgant, </w:t>
      </w:r>
      <w:r w:rsidR="00DC511E" w:rsidRPr="00965B36">
        <w:rPr>
          <w:rFonts w:eastAsia="Calibri" w:cs="Times New Roman"/>
          <w:szCs w:val="24"/>
        </w:rPr>
        <w:t>Teismas tapo nepajėgus išnagrinėti sparčiai gausėjančių bylų.  Įsigaliojus 14 Protokolui</w:t>
      </w:r>
      <w:r w:rsidR="00DC511E" w:rsidRPr="00965B36">
        <w:rPr>
          <w:rFonts w:eastAsia="Times New Roman" w:cs="Times New Roman"/>
          <w:szCs w:val="24"/>
          <w:lang w:eastAsia="lt-LT"/>
        </w:rPr>
        <w:t xml:space="preserve"> </w:t>
      </w:r>
      <w:r w:rsidR="00DC511E" w:rsidRPr="00965B36">
        <w:rPr>
          <w:rFonts w:eastAsia="Calibri" w:cs="Times New Roman"/>
          <w:szCs w:val="24"/>
        </w:rPr>
        <w:t xml:space="preserve"> buvo sukurtas naujas peticijų filtravimo mechanizmas, vadinamoji vieno teisėjo su</w:t>
      </w:r>
      <w:r w:rsidRPr="00965B36">
        <w:rPr>
          <w:rFonts w:eastAsia="Calibri" w:cs="Times New Roman"/>
          <w:szCs w:val="24"/>
        </w:rPr>
        <w:t>dėtis, kai vienas teisėjas turi</w:t>
      </w:r>
      <w:r w:rsidR="00DC511E" w:rsidRPr="00965B36">
        <w:rPr>
          <w:rFonts w:eastAsia="Calibri" w:cs="Times New Roman"/>
          <w:szCs w:val="24"/>
        </w:rPr>
        <w:t xml:space="preserve"> teisę atmesti aiškiai nepriimtinus skundus, kai tokiam sprendimui nereikia tolesnio teisminio nagrinėjimo. Ši naujovė žymiai paspartino Teismo darbą (pavyzdžiui 2011 metais nagrinėjimo Teisme laukė 161 000 bylų, o 2014 m. 69 900). </w:t>
      </w:r>
    </w:p>
    <w:p w:rsidR="00DC511E" w:rsidRPr="00965B36" w:rsidRDefault="00DC511E" w:rsidP="00DC511E">
      <w:pPr>
        <w:autoSpaceDE w:val="0"/>
        <w:autoSpaceDN w:val="0"/>
        <w:adjustRightInd w:val="0"/>
        <w:spacing w:line="240" w:lineRule="auto"/>
        <w:rPr>
          <w:rFonts w:eastAsia="Times New Roman" w:cs="Times New Roman"/>
          <w:szCs w:val="24"/>
          <w:lang w:eastAsia="lt-LT"/>
        </w:rPr>
      </w:pPr>
      <w:r w:rsidRPr="00965B36">
        <w:rPr>
          <w:rFonts w:eastAsia="Calibri" w:cs="Times New Roman"/>
          <w:szCs w:val="24"/>
        </w:rPr>
        <w:t xml:space="preserve">Kancleris taip pat pažymėjo, kad </w:t>
      </w:r>
      <w:r w:rsidRPr="00965B36">
        <w:rPr>
          <w:rFonts w:eastAsia="Calibri" w:cs="Times New Roman"/>
          <w:bCs/>
          <w:szCs w:val="24"/>
        </w:rPr>
        <w:t xml:space="preserve">dauguma peticijų (daugiau kaip 95 proc.) atmetamos nenagrinėjant jų iš esmės, nes jos neatitinka vieno iš Konvencijoje nustatytų  priimtinumo kriterijų.  </w:t>
      </w:r>
    </w:p>
    <w:p w:rsidR="00DC511E" w:rsidRPr="00965B36" w:rsidRDefault="00DC511E" w:rsidP="00DC511E">
      <w:pPr>
        <w:spacing w:line="240" w:lineRule="auto"/>
        <w:rPr>
          <w:rFonts w:eastAsia="Times New Roman" w:cs="Times New Roman"/>
          <w:szCs w:val="24"/>
          <w:lang w:eastAsia="lt-LT"/>
        </w:rPr>
      </w:pPr>
      <w:r w:rsidRPr="00965B36">
        <w:rPr>
          <w:rFonts w:eastAsia="Times New Roman" w:cs="Times New Roman"/>
          <w:szCs w:val="24"/>
          <w:lang w:eastAsia="lt-LT"/>
        </w:rPr>
        <w:t xml:space="preserve">Nuo 2011 metų Teismas taiko naują pilotinių sprendimų  procedūrą </w:t>
      </w:r>
      <w:r w:rsidRPr="00965B36">
        <w:rPr>
          <w:rFonts w:eastAsia="Times New Roman" w:cs="Times New Roman"/>
          <w:bCs/>
          <w:szCs w:val="24"/>
          <w:lang w:eastAsia="lt-LT"/>
        </w:rPr>
        <w:t>(</w:t>
      </w:r>
      <w:r w:rsidRPr="00965B36">
        <w:rPr>
          <w:rFonts w:eastAsia="Times New Roman" w:cs="Times New Roman"/>
          <w:bCs/>
          <w:i/>
          <w:szCs w:val="24"/>
          <w:lang w:eastAsia="lt-LT"/>
        </w:rPr>
        <w:t>pilot-judgment procedure</w:t>
      </w:r>
      <w:r w:rsidRPr="00965B36">
        <w:rPr>
          <w:rFonts w:eastAsia="Times New Roman" w:cs="Times New Roman"/>
          <w:bCs/>
          <w:szCs w:val="24"/>
          <w:lang w:eastAsia="lt-LT"/>
        </w:rPr>
        <w:t>)</w:t>
      </w:r>
      <w:r w:rsidRPr="00965B36">
        <w:rPr>
          <w:rFonts w:eastAsia="Times New Roman" w:cs="Times New Roman"/>
          <w:szCs w:val="24"/>
          <w:lang w:eastAsia="lt-LT"/>
        </w:rPr>
        <w:t>,  siekdamas susidoroti su didžiuliu pareiškimų, susijusių su panašiais klausimais, skaičiumi. Taip sprendžiamos  vadinamos sisteminės problemos, kurios atsiranda dėl to, kad nacionaliniai teisės aktai neatitinka Konvencijos nuostatų. Teismui nusprendus nagrinėti vieną ar kelias bylas,  Teismas priimą ,,pilotinį sprendimą“, kuriame plačiau išanalizuoja situaciją</w:t>
      </w:r>
      <w:r w:rsidR="00B61248" w:rsidRPr="00965B36">
        <w:rPr>
          <w:rFonts w:eastAsia="Times New Roman" w:cs="Times New Roman"/>
          <w:szCs w:val="24"/>
          <w:lang w:eastAsia="lt-LT"/>
        </w:rPr>
        <w:t>,</w:t>
      </w:r>
      <w:r w:rsidRPr="00965B36">
        <w:rPr>
          <w:rFonts w:eastAsia="Times New Roman" w:cs="Times New Roman"/>
          <w:szCs w:val="24"/>
          <w:lang w:eastAsia="lt-LT"/>
        </w:rPr>
        <w:t xml:space="preserve"> keliančią  problemas, paragina susijusią Valstybę suderinti teisės aktus su Konvencija bei nurodo, kokių bendrųjų priemonių reikėtų imtis. </w:t>
      </w:r>
      <w:r w:rsidR="00B61248" w:rsidRPr="00965B36">
        <w:rPr>
          <w:rFonts w:eastAsia="Times New Roman" w:cs="Times New Roman"/>
          <w:szCs w:val="24"/>
          <w:lang w:eastAsia="lt-LT"/>
        </w:rPr>
        <w:t xml:space="preserve">Tai leidžia identifikuoti kai kurias teisinės sistemos struktūrines </w:t>
      </w:r>
      <w:r w:rsidR="00965B36" w:rsidRPr="00965B36">
        <w:rPr>
          <w:rFonts w:eastAsia="Times New Roman" w:cs="Times New Roman"/>
          <w:szCs w:val="24"/>
          <w:lang w:eastAsia="lt-LT"/>
        </w:rPr>
        <w:t>ydas. Tokiais</w:t>
      </w:r>
      <w:r w:rsidRPr="00965B36">
        <w:rPr>
          <w:rFonts w:eastAsia="Times New Roman" w:cs="Times New Roman"/>
          <w:szCs w:val="24"/>
          <w:lang w:eastAsia="lt-LT"/>
        </w:rPr>
        <w:t xml:space="preserve"> atvejais Teismas nebenagrinėja kitų panašių bylų.</w:t>
      </w:r>
    </w:p>
    <w:p w:rsidR="00DC511E" w:rsidRPr="00965B36" w:rsidRDefault="00B61248" w:rsidP="00DC511E">
      <w:pPr>
        <w:spacing w:line="240" w:lineRule="auto"/>
        <w:rPr>
          <w:rFonts w:eastAsia="Times New Roman" w:cs="Times New Roman"/>
          <w:szCs w:val="24"/>
          <w:lang w:eastAsia="lt-LT"/>
        </w:rPr>
      </w:pPr>
      <w:r w:rsidRPr="00965B36">
        <w:rPr>
          <w:rFonts w:eastAsia="Times New Roman" w:cs="Times New Roman"/>
          <w:szCs w:val="24"/>
          <w:lang w:eastAsia="lt-LT"/>
        </w:rPr>
        <w:t>Teismas</w:t>
      </w:r>
      <w:r w:rsidR="00DC511E" w:rsidRPr="00965B36">
        <w:rPr>
          <w:rFonts w:eastAsia="Times New Roman" w:cs="Times New Roman"/>
          <w:szCs w:val="24"/>
          <w:lang w:eastAsia="lt-LT"/>
        </w:rPr>
        <w:t xml:space="preserve"> taip pat susiduria su problema, kad bylų </w:t>
      </w:r>
      <w:r w:rsidRPr="00965B36">
        <w:rPr>
          <w:rFonts w:eastAsia="Times New Roman" w:cs="Times New Roman"/>
          <w:szCs w:val="24"/>
          <w:lang w:eastAsia="lt-LT"/>
        </w:rPr>
        <w:t xml:space="preserve">nagrinėjimas EŽTT </w:t>
      </w:r>
      <w:r w:rsidR="00DC511E" w:rsidRPr="00965B36">
        <w:rPr>
          <w:rFonts w:eastAsia="Times New Roman" w:cs="Times New Roman"/>
          <w:szCs w:val="24"/>
          <w:lang w:eastAsia="lt-LT"/>
        </w:rPr>
        <w:t xml:space="preserve">užtrunka pakankamai ilgai. Teismas įsipareigoja išnagrinėti bylas  per trejus metus nuo jų pateikimo, tačiau kai kurių bylų nagrinėjimas gali užtrukti ilgiau, o kitos yra išnagrinėjamos greičiau. Bylų nagrinėjimo Teisme trukmė dažniausiai priklauso nuo bylos, Teismo sudėties, kuriai priskirtas bylos nagrinėjimas, šalių įsipareigojimo pateikti Teismui informaciją vykdymo bei daugelio kitų veiksnių, tokių kaip Teismo posėdžiai, ar bylos perdavimas Didžiajai Kolegijai. Kai kurie pareiškimai pripažįstami skubiais ir </w:t>
      </w:r>
      <w:r w:rsidR="00DC511E" w:rsidRPr="00965B36">
        <w:rPr>
          <w:rFonts w:eastAsia="Times New Roman" w:cs="Times New Roman"/>
          <w:szCs w:val="24"/>
          <w:lang w:eastAsia="lt-LT"/>
        </w:rPr>
        <w:lastRenderedPageBreak/>
        <w:t>todėl yra nagrinėjami pirmumo tvarka, ypač tuomet, kai pareiškėjui tariamai gresia fizinės žalos  pavojus.</w:t>
      </w:r>
    </w:p>
    <w:p w:rsidR="00DC511E" w:rsidRPr="00965B36" w:rsidRDefault="00DC511E" w:rsidP="00DC511E">
      <w:pPr>
        <w:spacing w:line="240" w:lineRule="auto"/>
        <w:ind w:firstLine="0"/>
        <w:rPr>
          <w:rFonts w:cs="Times New Roman"/>
          <w:szCs w:val="24"/>
        </w:rPr>
      </w:pPr>
      <w:r w:rsidRPr="00965B36">
        <w:rPr>
          <w:rFonts w:eastAsia="Times New Roman" w:cs="Times New Roman"/>
          <w:szCs w:val="24"/>
          <w:lang w:eastAsia="lt-LT"/>
        </w:rPr>
        <w:tab/>
        <w:t xml:space="preserve"> Tiek Teismas, tiek ir ET Ministrų Komitetas  nuolatos akcentuoja, kad  </w:t>
      </w:r>
      <w:r w:rsidRPr="00965B36">
        <w:rPr>
          <w:rFonts w:cs="Times New Roman"/>
          <w:szCs w:val="24"/>
        </w:rPr>
        <w:t xml:space="preserve">geresniam Konvencijos įgyvendinimui ir Konvencijos pažeidimų prevencijai ypatingos reikšmės turi EŽTT pagrindinių sprendimų vertimas ir sklaida nacionalinėmis kalbomis. </w:t>
      </w:r>
      <w:r w:rsidRPr="00965B36">
        <w:rPr>
          <w:rFonts w:eastAsia="Times New Roman" w:cs="Times New Roman"/>
          <w:szCs w:val="24"/>
          <w:lang w:eastAsia="lt-LT"/>
        </w:rPr>
        <w:t xml:space="preserve">Todėl Seimo nariams pasidomėjus apie Teismo galimybę versti visus sprendimus į visas valstybių narių kalbas buvo atsakyta, kad, deja, Teismas tokių finansinių galimybių neturi.  </w:t>
      </w:r>
    </w:p>
    <w:p w:rsidR="00DC511E" w:rsidRPr="00965B36" w:rsidRDefault="00DC511E" w:rsidP="00DC511E">
      <w:pPr>
        <w:spacing w:line="240" w:lineRule="auto"/>
        <w:rPr>
          <w:rFonts w:eastAsia="Times New Roman" w:cs="Times New Roman"/>
          <w:szCs w:val="24"/>
          <w:lang w:eastAsia="lt-LT"/>
        </w:rPr>
      </w:pPr>
      <w:r w:rsidRPr="00965B36">
        <w:rPr>
          <w:rFonts w:eastAsia="Times New Roman" w:cs="Times New Roman"/>
          <w:szCs w:val="24"/>
          <w:lang w:eastAsia="lt-LT"/>
        </w:rPr>
        <w:t xml:space="preserve">Teismo kancleris taip pat pažymėjo, kad  Teismas neturi savo atskiro biudžeto. Teismo biudžetas yra dalis Europos Tarybos biudžeto. Konvencijos 50 straipsnyje numatyta, kad Teismo išlaidas atlygina Europos Taryba.  2015 metams Teismui yra skirta apie 69 000 000 eurų. </w:t>
      </w:r>
    </w:p>
    <w:p w:rsidR="00DC511E" w:rsidRPr="00965B36" w:rsidRDefault="00DC511E" w:rsidP="00DC511E">
      <w:pPr>
        <w:spacing w:line="240" w:lineRule="auto"/>
        <w:rPr>
          <w:rFonts w:eastAsia="Calibri" w:cs="Times New Roman"/>
          <w:szCs w:val="24"/>
        </w:rPr>
      </w:pPr>
      <w:r w:rsidRPr="00965B36">
        <w:rPr>
          <w:rFonts w:eastAsia="Calibri" w:cs="Times New Roman"/>
          <w:szCs w:val="24"/>
        </w:rPr>
        <w:t xml:space="preserve">Seimo nariai akcentavo, kad siekiant didinti EŽTT praktikos žinomumą  būtų labai naudinga jeigu į Lietuvių kalbą būtų verčiami ir viešinami ne tik Teismo sprendimai bylose prieš Lietuvą, bet ir  kiti pagrindiniai Teismo sprendimai, priimti prieš kitas valstybes.   Tokiu būdu ne tik teismai,  teisininkai bei pareigūnai  plačiau susipažintų su Teismo praktika, bet ir  pilietinė visuomenė geriau suvoktų pagrindinius Konvencijos principus. </w:t>
      </w:r>
    </w:p>
    <w:p w:rsidR="00DC511E" w:rsidRPr="00965B36" w:rsidRDefault="00DC511E" w:rsidP="00DC511E">
      <w:pPr>
        <w:spacing w:line="240" w:lineRule="auto"/>
        <w:rPr>
          <w:rFonts w:eastAsia="Times New Roman" w:cs="Times New Roman"/>
          <w:szCs w:val="24"/>
          <w:lang w:eastAsia="lt-LT"/>
        </w:rPr>
      </w:pPr>
    </w:p>
    <w:p w:rsidR="005A1054" w:rsidRPr="00965B36" w:rsidRDefault="005A1054" w:rsidP="005A1054">
      <w:pPr>
        <w:spacing w:line="240" w:lineRule="auto"/>
        <w:ind w:firstLine="0"/>
        <w:jc w:val="center"/>
        <w:rPr>
          <w:rFonts w:eastAsia="Times New Roman" w:cs="Times New Roman"/>
          <w:i/>
          <w:szCs w:val="24"/>
          <w:lang w:eastAsia="lt-LT"/>
        </w:rPr>
      </w:pPr>
      <w:r w:rsidRPr="00965B36">
        <w:rPr>
          <w:rFonts w:eastAsia="Times New Roman" w:cs="Times New Roman"/>
          <w:i/>
          <w:szCs w:val="24"/>
          <w:lang w:eastAsia="lt-LT"/>
        </w:rPr>
        <w:t>Susitikimas su EŽTT priimamojo atstove Karen REID dėl peticijų priimtinumo</w:t>
      </w:r>
    </w:p>
    <w:p w:rsidR="005A1054" w:rsidRPr="00965B36" w:rsidRDefault="005A1054" w:rsidP="005A1054">
      <w:pPr>
        <w:spacing w:line="240" w:lineRule="auto"/>
        <w:ind w:firstLine="0"/>
        <w:jc w:val="center"/>
        <w:rPr>
          <w:rFonts w:eastAsia="Times New Roman" w:cs="Times New Roman"/>
          <w:i/>
          <w:szCs w:val="24"/>
          <w:lang w:eastAsia="lt-LT"/>
        </w:rPr>
      </w:pPr>
    </w:p>
    <w:p w:rsidR="005A1054" w:rsidRPr="00965B36" w:rsidRDefault="005A1054" w:rsidP="005A1054">
      <w:pPr>
        <w:spacing w:line="276" w:lineRule="auto"/>
        <w:rPr>
          <w:rFonts w:eastAsia="Calibri" w:cs="Times New Roman"/>
          <w:bCs/>
          <w:szCs w:val="24"/>
        </w:rPr>
      </w:pPr>
      <w:r w:rsidRPr="00965B36">
        <w:rPr>
          <w:rFonts w:eastAsia="Calibri" w:cs="Times New Roman"/>
          <w:bCs/>
          <w:szCs w:val="24"/>
        </w:rPr>
        <w:t>Gerai žinoma, kad EŽTT darbo krūvis yra pakankamai didelis. Jau ne vienerius metus ieškoma būdų kaip šią  problema išspręsti. Skirtumas tarp Teismui pateikiamų ir jo išsprendžiamų peticijų  nuolatos auga. Tokia situacija kenkia Konvencijos ir jos kontrolės sistemos veiksmingumui ir pasitikėjimui jomis bei kelia grėsmę Teismo autoritetui ir jo praktikos kokybei bei nuoseklumui.</w:t>
      </w:r>
    </w:p>
    <w:p w:rsidR="005A1054" w:rsidRPr="00965B36" w:rsidRDefault="005A1054" w:rsidP="005A1054">
      <w:pPr>
        <w:spacing w:line="276" w:lineRule="auto"/>
        <w:rPr>
          <w:rFonts w:eastAsia="Calibri" w:cs="Times New Roman"/>
          <w:bCs/>
          <w:szCs w:val="24"/>
        </w:rPr>
      </w:pPr>
      <w:r w:rsidRPr="00965B36">
        <w:rPr>
          <w:rFonts w:eastAsia="Calibri" w:cs="Times New Roman"/>
          <w:bCs/>
          <w:szCs w:val="24"/>
        </w:rPr>
        <w:t xml:space="preserve">Karen Reid akcentavo, kad Konvencijoje nustatyta pagrindinių teisių ir laisvių apsaugos sistema yra pagrįsta subsidiarumo principu. Užtikrinti jos taikymą pirmiausia privalo valstybės, Konvencijos narės.  EŽTT turėtų įsikišti tik tuo atveju, kai valstybės nevykdo savo įsipareigojimų. </w:t>
      </w:r>
    </w:p>
    <w:p w:rsidR="005A1054" w:rsidRPr="00965B36" w:rsidRDefault="005A1054" w:rsidP="005A1054">
      <w:pPr>
        <w:spacing w:line="276" w:lineRule="auto"/>
        <w:rPr>
          <w:rFonts w:eastAsia="Calibri" w:cs="Times New Roman"/>
          <w:bCs/>
          <w:szCs w:val="24"/>
        </w:rPr>
      </w:pPr>
      <w:r w:rsidRPr="00965B36">
        <w:rPr>
          <w:rFonts w:eastAsia="Calibri" w:cs="Times New Roman"/>
          <w:bCs/>
          <w:szCs w:val="24"/>
        </w:rPr>
        <w:t>Teismo priežiūra daugiausia vykdoma remiantis individualiomis peticijomis, kurias Teismui gali pateikti bet koks valstybės, Konvencijos narės, jurisdikcijai priklausantis fizinis arba juridinis asmuo. Taigi potencialių pareiškėjų grupė yra didžiulė.</w:t>
      </w:r>
    </w:p>
    <w:p w:rsidR="005A1054" w:rsidRPr="00965B36" w:rsidRDefault="005A1054" w:rsidP="005A1054">
      <w:pPr>
        <w:spacing w:line="276" w:lineRule="auto"/>
        <w:rPr>
          <w:rFonts w:eastAsia="Calibri" w:cs="Times New Roman"/>
          <w:bCs/>
          <w:szCs w:val="24"/>
        </w:rPr>
      </w:pPr>
      <w:r w:rsidRPr="00965B36">
        <w:rPr>
          <w:rFonts w:eastAsia="Calibri" w:cs="Times New Roman"/>
          <w:bCs/>
          <w:szCs w:val="24"/>
        </w:rPr>
        <w:t xml:space="preserve"> Jau eilę metų dėl įvairiausių veiksnių Teismas yra tvindomas individualiomis peticijomis.</w:t>
      </w:r>
    </w:p>
    <w:p w:rsidR="005A1054" w:rsidRPr="00965B36" w:rsidRDefault="005A1054" w:rsidP="005A1054">
      <w:pPr>
        <w:spacing w:line="276" w:lineRule="auto"/>
        <w:ind w:firstLine="0"/>
        <w:rPr>
          <w:rFonts w:eastAsia="Calibri" w:cs="Times New Roman"/>
          <w:bCs/>
          <w:szCs w:val="24"/>
        </w:rPr>
      </w:pPr>
      <w:r w:rsidRPr="00965B36">
        <w:rPr>
          <w:rFonts w:eastAsia="Calibri" w:cs="Times New Roman"/>
          <w:bCs/>
          <w:szCs w:val="24"/>
        </w:rPr>
        <w:t xml:space="preserve">Kiekvienais metais Teismą pasiekia daugiau kaip 50 000 naujų pareiškimų. Vis dėlto dauguma peticijų (daugiau kaip 95 proc.) atmetamos nenagrinėjant jų iš esmės, nes jos neatitinka vieno iš Konvencijoje nustatytų priimtinumo kriterijų. Ši situacija kelia nusivylimą dviem atžvilgiais. Pirma, kadangi Teismas privalo atsakyti į kiekvieną peticiją, jam užkertamas kelias per pagrįstą terminą išspręsti bylas, kurias reikia nagrinėti iš esmės, todėl visuomenė negauna jokios realios naudos. Antra, dešimčių tūkstančių pareiškėjų skundai neišvengiamai yra atmetami, dažnai pralaukus daugelį metų. </w:t>
      </w:r>
    </w:p>
    <w:p w:rsidR="005A1054" w:rsidRPr="00965B36" w:rsidRDefault="005A1054" w:rsidP="005A1054">
      <w:pPr>
        <w:spacing w:line="276" w:lineRule="auto"/>
        <w:rPr>
          <w:rFonts w:eastAsia="Calibri" w:cs="Times New Roman"/>
          <w:bCs/>
          <w:szCs w:val="24"/>
        </w:rPr>
      </w:pPr>
      <w:r w:rsidRPr="00965B36">
        <w:rPr>
          <w:rFonts w:eastAsia="Calibri" w:cs="Times New Roman"/>
          <w:bCs/>
          <w:szCs w:val="24"/>
        </w:rPr>
        <w:t xml:space="preserve">Valstybės, Konvencijos narės, ir Teismas bei jo kanceliarija nuolat ieškojo būdų šiai problemai išspręsti ir veiksmingam teisingumo vykdymui užtikrinti.  Viena akivaizdžiausių priemonių – Konvencijos Protokolo Nr. 14 priėmimas. Be kita ko, jame numatyta, kad peticijas, kurios yra aiškiai nepriimtinos, nagrinėja ne trijų teisėjų komitetas, o vienas teisėjas. 2010 m. birželio 1 d. įsigaliojusiame Protokole Nr. 14 taip pat numatytas naujas priimtinumo kriterijus, susijęs su pareiškėjo patirtos žalos mastu, kuriuo siekiama neskatinti didelės žalos nepatyrusių asmenų teikti peticijas. </w:t>
      </w:r>
    </w:p>
    <w:p w:rsidR="005A1054" w:rsidRPr="00965B36" w:rsidRDefault="005A1054" w:rsidP="005A1054">
      <w:pPr>
        <w:spacing w:line="276" w:lineRule="auto"/>
        <w:rPr>
          <w:rFonts w:eastAsia="Calibri" w:cs="Times New Roman"/>
          <w:bCs/>
          <w:szCs w:val="24"/>
        </w:rPr>
      </w:pPr>
      <w:r w:rsidRPr="00965B36">
        <w:rPr>
          <w:rFonts w:eastAsia="Calibri" w:cs="Times New Roman"/>
          <w:bCs/>
          <w:szCs w:val="24"/>
        </w:rPr>
        <w:t xml:space="preserve">2009 m. Teismas nusistatė naują tvarką kaip veiksmingiau tvarkytis su dideliu bylų skaičiumi. Anksčiau teismas bylas spręsdavo chronologine tvarka, tačiau tokiu būdu bylų, kuriose būdavo rimti žmogaus teisių pažeidimai, svarstymai nusikeldavo ilgam laikui. Remiantis nauja tvarka Teismas, atsižvelgdamas į galimo Konvencijos pažeidimo svarbą, nusprendžia kokioms byloms suteikti prioritetą. </w:t>
      </w:r>
    </w:p>
    <w:p w:rsidR="005A1054" w:rsidRPr="00965B36" w:rsidRDefault="005A1054" w:rsidP="005A1054">
      <w:pPr>
        <w:spacing w:line="276" w:lineRule="auto"/>
        <w:rPr>
          <w:rFonts w:eastAsia="Calibri" w:cs="Times New Roman"/>
          <w:bCs/>
          <w:szCs w:val="24"/>
        </w:rPr>
      </w:pPr>
      <w:r w:rsidRPr="00965B36">
        <w:rPr>
          <w:rFonts w:eastAsia="Calibri" w:cs="Times New Roman"/>
          <w:bCs/>
          <w:szCs w:val="24"/>
        </w:rPr>
        <w:lastRenderedPageBreak/>
        <w:t xml:space="preserve">2010 m. Interlakene, 2011 m. Izmyre, 2012 m. Braitone buvo priimtos deklaracijos dėl Europos Žmogaus Teisių Teismo ateities, kuriomis siekiama padaryti Teismo darbą kuo efektyvesnį. Siekiama, kiek įmanoma sumažinti peticijų, kurių nagrinėjimas neturi perspektyvų baigtis sprendimu dėl esmės, skaičių ir užtikrinti, kad peticijos, kurias reikia nagrinėti iš esmės, atitiktų priimtinumo reikalavimus. Šiuo metu daugumos minėtus reikalavimus atitinkančių bylų priimtinumas ir esmė nagrinėjami kartu, todėl procesas tampa paprastesnis ir spartesnis. </w:t>
      </w:r>
    </w:p>
    <w:p w:rsidR="005A1054" w:rsidRPr="00965B36" w:rsidRDefault="005A1054" w:rsidP="005A1054">
      <w:pPr>
        <w:spacing w:line="276" w:lineRule="auto"/>
        <w:rPr>
          <w:rFonts w:eastAsia="Calibri" w:cs="Times New Roman"/>
          <w:bCs/>
          <w:szCs w:val="24"/>
        </w:rPr>
      </w:pPr>
      <w:r w:rsidRPr="00965B36">
        <w:rPr>
          <w:rFonts w:eastAsia="Calibri" w:cs="Times New Roman"/>
          <w:bCs/>
          <w:szCs w:val="24"/>
        </w:rPr>
        <w:t xml:space="preserve">Remiantis Interlakeno konferencijos siūlymais, 2013 m.   buvo pakeista Tesimo reglamento 47 taisyklė ir Teismo kanceliarijoje buvo įdiegta nauja filtravimo sistema.  Pakeistoje taisyklėje nustatoma konkreti pareiškimo forma, kurią turi užpildyti pareiškėjas. Jeigu forma užpildyta netinkamai – pareiškimas yra nepriimamas.  2014 metais Teismas gavo  virš 52  000 pareiškimų iš kurių 23 proc. neatitiko naujų reikalavimų. </w:t>
      </w:r>
    </w:p>
    <w:p w:rsidR="005A1054" w:rsidRPr="00965B36" w:rsidRDefault="005A1054" w:rsidP="005A1054">
      <w:pPr>
        <w:spacing w:line="276" w:lineRule="auto"/>
        <w:rPr>
          <w:rFonts w:eastAsia="Calibri" w:cs="Times New Roman"/>
          <w:bCs/>
          <w:szCs w:val="24"/>
        </w:rPr>
      </w:pPr>
      <w:r w:rsidRPr="00965B36">
        <w:rPr>
          <w:rFonts w:eastAsia="Calibri" w:cs="Times New Roman"/>
          <w:bCs/>
          <w:szCs w:val="24"/>
        </w:rPr>
        <w:t>Visi peticijų  priimtinumo kriterijai, išdėstyti Konvencijos 34 straipsnyje (Individualios peticijos) ir 35 straipsnyje (Priimtinumo sąlygos).  Kaip nustatyta Konvencijos 35 straipsnyje,  Teismas gali priimti bylą nagrinėti tik po to, kai pagal visuotinai pripažintus tarptautinės teisės principus buvo panaudotos visos valstybės vidaus teisinės gynybos priemonės, ir ne vėliau kaip per šešis mėnesius nuo tos dienos, kai buvo priimtas galutinis sprendimas.</w:t>
      </w:r>
    </w:p>
    <w:p w:rsidR="005A1054" w:rsidRPr="00965B36" w:rsidRDefault="005A1054" w:rsidP="005A1054">
      <w:pPr>
        <w:spacing w:line="276" w:lineRule="auto"/>
        <w:rPr>
          <w:rFonts w:eastAsia="Calibri" w:cs="Times New Roman"/>
          <w:bCs/>
          <w:szCs w:val="24"/>
        </w:rPr>
      </w:pPr>
      <w:r w:rsidRPr="00965B36">
        <w:rPr>
          <w:rFonts w:eastAsia="Calibri" w:cs="Times New Roman"/>
          <w:bCs/>
          <w:szCs w:val="24"/>
        </w:rPr>
        <w:t>Pagrindinis vidaus teisinės gynybos priemonių panaudojimo taisyklės tikslas – suteikti nacionalinėms valdžios institucijoms, pirmiausia teismams, galimybę išvengti tariamų Konvencijos pažeidimų arba juos ištaisyti. Ji grindžiama iš 13 straipsnio išplaukiančia prielaida, kad valstybės vidaus teisės sistemoje bus numatyta veiksminga teisinės gynybos priemonė Konvencijoje įtvirtintų teisių pažeidimams. Tai yra svarbus Konvencijos mechanizmo subsidiaraus pobūdžio aspektas. Teisinių gynybos priemonių panaudojimo taisyklė yra privaloma Konvencijos apsaugos sistemos funkcionavimo dalis ir tai yra pagrindinis principas.</w:t>
      </w:r>
    </w:p>
    <w:p w:rsidR="005A1054" w:rsidRPr="00965B36" w:rsidRDefault="005A1054" w:rsidP="005A1054">
      <w:pPr>
        <w:spacing w:line="276" w:lineRule="auto"/>
        <w:rPr>
          <w:rFonts w:eastAsia="Calibri" w:cs="Times New Roman"/>
          <w:bCs/>
          <w:szCs w:val="24"/>
        </w:rPr>
      </w:pPr>
      <w:r w:rsidRPr="00965B36">
        <w:rPr>
          <w:rFonts w:eastAsia="Calibri" w:cs="Times New Roman"/>
          <w:bCs/>
          <w:szCs w:val="24"/>
        </w:rPr>
        <w:t xml:space="preserve">Šešių mėnesių taisyklės paskirtis – skatinti įstatymų patikimumą, užtikrinti, kad bylos, kuriose keliami Konvencijos klausimai, būtų išnagrinėtos per pagrįstą laiką, ir apsaugoti valdžios institucijas ir kitus susijusius asmenis nuo ilgo buvimo nežinioje. Ši taisyklė taip pat suteikia potencialiam pareiškėjui pakankamai laiko apgalvoti, ar teikti peticiją, o jeigu apsisprendžiama ją teikti, – nuspręsti, kokius konkrečius skundus ir argumentus pateikti, taip pat palengvina bylos faktų nustatymą, kai dėl praėjusio laiko tampa problematiška teisingai išnagrinėti iškeltus klausimus. </w:t>
      </w:r>
    </w:p>
    <w:p w:rsidR="005A1054" w:rsidRPr="00965B36" w:rsidRDefault="005A1054" w:rsidP="005A1054">
      <w:pPr>
        <w:spacing w:line="276" w:lineRule="auto"/>
        <w:rPr>
          <w:rFonts w:eastAsia="Calibri" w:cs="Times New Roman"/>
          <w:bCs/>
          <w:szCs w:val="24"/>
        </w:rPr>
      </w:pPr>
      <w:r w:rsidRPr="00965B36">
        <w:rPr>
          <w:rFonts w:eastAsia="Calibri" w:cs="Times New Roman"/>
          <w:bCs/>
          <w:szCs w:val="24"/>
        </w:rPr>
        <w:t>Teismas nepriima nagrinėti pateiktos peticijos, jei ši yra:</w:t>
      </w:r>
    </w:p>
    <w:p w:rsidR="005A1054" w:rsidRPr="00965B36" w:rsidRDefault="005A1054" w:rsidP="005A1054">
      <w:pPr>
        <w:spacing w:line="276" w:lineRule="auto"/>
        <w:rPr>
          <w:rFonts w:eastAsia="Calibri" w:cs="Times New Roman"/>
          <w:bCs/>
          <w:szCs w:val="24"/>
        </w:rPr>
      </w:pPr>
      <w:r w:rsidRPr="00965B36">
        <w:rPr>
          <w:rFonts w:eastAsia="Calibri" w:cs="Times New Roman"/>
          <w:bCs/>
          <w:szCs w:val="24"/>
        </w:rPr>
        <w:t>a) anoniminė arba</w:t>
      </w:r>
    </w:p>
    <w:p w:rsidR="005A1054" w:rsidRPr="00965B36" w:rsidRDefault="005A1054" w:rsidP="005A1054">
      <w:pPr>
        <w:spacing w:line="276" w:lineRule="auto"/>
        <w:rPr>
          <w:rFonts w:eastAsia="Calibri" w:cs="Times New Roman"/>
          <w:bCs/>
          <w:szCs w:val="24"/>
        </w:rPr>
      </w:pPr>
      <w:r w:rsidRPr="00965B36">
        <w:rPr>
          <w:rFonts w:eastAsia="Calibri" w:cs="Times New Roman"/>
          <w:bCs/>
          <w:szCs w:val="24"/>
        </w:rPr>
        <w:t>b) pagal savo esmę tokia pat, kokią Teismas jau svarstė arba kokia jau buvo perduota kitai tarptautinei tyrimo ar ginčo sprendimo institucijai ir jeigu peticijoje nėra jokios bylai reikšmingos naujos informacijos.</w:t>
      </w:r>
    </w:p>
    <w:p w:rsidR="005A1054" w:rsidRPr="00965B36" w:rsidRDefault="005A1054" w:rsidP="005A1054">
      <w:pPr>
        <w:spacing w:line="276" w:lineRule="auto"/>
        <w:rPr>
          <w:rFonts w:eastAsia="Calibri" w:cs="Times New Roman"/>
          <w:bCs/>
          <w:szCs w:val="24"/>
        </w:rPr>
      </w:pPr>
      <w:r w:rsidRPr="00965B36">
        <w:rPr>
          <w:rFonts w:eastAsia="Calibri" w:cs="Times New Roman"/>
          <w:bCs/>
          <w:szCs w:val="24"/>
        </w:rPr>
        <w:t>Teismas paskelbia nepriimtina kiekvieną pateiktą individualią peticiją, jeigu mano, kad:</w:t>
      </w:r>
    </w:p>
    <w:p w:rsidR="005A1054" w:rsidRPr="00965B36" w:rsidRDefault="005A1054" w:rsidP="005A1054">
      <w:pPr>
        <w:spacing w:line="276" w:lineRule="auto"/>
        <w:rPr>
          <w:rFonts w:eastAsia="Calibri" w:cs="Times New Roman"/>
          <w:bCs/>
          <w:szCs w:val="24"/>
        </w:rPr>
      </w:pPr>
      <w:r w:rsidRPr="00965B36">
        <w:rPr>
          <w:rFonts w:eastAsia="Calibri" w:cs="Times New Roman"/>
          <w:bCs/>
          <w:szCs w:val="24"/>
        </w:rPr>
        <w:t>a) peticija nesuderinama su Konvencijos ir jos protokolų nuostatomis, yra aiškiai nepagrįsta arba pateikta piktnaudžiaujant individualios peticijos teise arba</w:t>
      </w:r>
    </w:p>
    <w:p w:rsidR="005A1054" w:rsidRPr="00965B36" w:rsidRDefault="005A1054" w:rsidP="005A1054">
      <w:pPr>
        <w:spacing w:line="276" w:lineRule="auto"/>
        <w:rPr>
          <w:rFonts w:eastAsia="Calibri" w:cs="Times New Roman"/>
          <w:bCs/>
          <w:szCs w:val="24"/>
        </w:rPr>
      </w:pPr>
      <w:r w:rsidRPr="00965B36">
        <w:rPr>
          <w:rFonts w:eastAsia="Calibri" w:cs="Times New Roman"/>
          <w:bCs/>
          <w:szCs w:val="24"/>
        </w:rPr>
        <w:t>b) pareiškėjas nepatyrė didelės žalos, išskyrus atvejus, kai iš pagarbos žmogaus teisėms pagal Konvenciją ir jos protokolus peticiją reikia nagrinėti iš esmės, ir jokia byla negali būti atmesta šiuo pagrindu, jei jos tinkamai neišnagrinėjo valstybės teismas.</w:t>
      </w:r>
    </w:p>
    <w:p w:rsidR="005A1054" w:rsidRPr="00965B36" w:rsidRDefault="005A1054" w:rsidP="005A1054">
      <w:pPr>
        <w:spacing w:line="276" w:lineRule="auto"/>
        <w:rPr>
          <w:rFonts w:eastAsia="Calibri" w:cs="Times New Roman"/>
          <w:bCs/>
          <w:szCs w:val="24"/>
        </w:rPr>
      </w:pPr>
      <w:r w:rsidRPr="00965B36">
        <w:rPr>
          <w:rFonts w:eastAsia="Calibri" w:cs="Times New Roman"/>
          <w:bCs/>
          <w:szCs w:val="24"/>
        </w:rPr>
        <w:t>Teismas atmeta kiekvieną jam pateiktą peticiją, jei mano, kad ji nepriimtina pagal Konvencijos 35 straipsnį. Tai jis gali padaryti bet kurioje proceso stadijoje.</w:t>
      </w:r>
    </w:p>
    <w:p w:rsidR="005A1054" w:rsidRPr="00965B36" w:rsidRDefault="005A1054" w:rsidP="005A1054">
      <w:pPr>
        <w:spacing w:line="276" w:lineRule="auto"/>
        <w:rPr>
          <w:rFonts w:eastAsia="Calibri" w:cs="Times New Roman"/>
          <w:bCs/>
          <w:szCs w:val="24"/>
        </w:rPr>
      </w:pPr>
      <w:r w:rsidRPr="00965B36">
        <w:rPr>
          <w:rFonts w:eastAsia="Calibri" w:cs="Times New Roman"/>
          <w:bCs/>
          <w:szCs w:val="24"/>
        </w:rPr>
        <w:t xml:space="preserve">EŽTT kanceliarijos atstovė pažymėjo, kad vienas pagrindinių principų, kuriais grindžiama visa Konvencijos sistema, yra subsidiarumo principas. Konkrečiame Europos Žmogaus Teisių Teismo kontekste tai reiškia, kad įgyvendinti Konvencijoje įtvirtintas teises ir užtikrinti pagarbą joms pirmiausia yra susitariančiųjų šalių valdžios institucijų, o ne Teismo užduotis. Teismas gali </w:t>
      </w:r>
      <w:r w:rsidRPr="00965B36">
        <w:rPr>
          <w:rFonts w:eastAsia="Calibri" w:cs="Times New Roman"/>
          <w:bCs/>
          <w:szCs w:val="24"/>
        </w:rPr>
        <w:lastRenderedPageBreak/>
        <w:t>įsikišti tik tais atvejais, kai vidaus valdžios institucijos nevykdo savo įsipareigojimų. Todėl geriausia, kai bylos faktai ištiriami ir klausimai išnagrinėjami kuo išsamiau nacionaliniu lygmeniu, kad valstybių vidaus institucijos, kurios, tiesiogiai ir nuolat palaikydamos ryšius su svarbiausiomis savo šalies jėgomis, gali geriausiai tai padaryti, galėtų imtis veiksmų, skirtų tariamiems Konvencijos pažeidimams ištaisyti.</w:t>
      </w:r>
    </w:p>
    <w:p w:rsidR="005A1054" w:rsidRPr="00965B36" w:rsidRDefault="005A1054" w:rsidP="005A1054">
      <w:pPr>
        <w:spacing w:line="276" w:lineRule="auto"/>
        <w:rPr>
          <w:rFonts w:eastAsia="Calibri" w:cs="Times New Roman"/>
          <w:bCs/>
          <w:szCs w:val="24"/>
        </w:rPr>
      </w:pPr>
      <w:r w:rsidRPr="00965B36">
        <w:rPr>
          <w:rFonts w:eastAsia="Calibri" w:cs="Times New Roman"/>
          <w:bCs/>
          <w:szCs w:val="24"/>
        </w:rPr>
        <w:t xml:space="preserve">Viena konkreti Teismui pateikiamų skundų kategorija apima skundus, paprastai vadinamus „ketvirtosios instancijos“ skundais. Šis terminas, kurio nėra Konvencijos tekste ir kuris nusistovėjo Konvencijos institucijų praktikoje akcentuoja tai, kuo Teismas nėra: jis nėra apeliacinis teismas arba teismas, galintis panaikinti valstybių, Konvencijos narių, teismų sprendimus ar iš naujo išnagrinėti jų nagrinėtas bylas, jis taip pat negali iš naujo išnagrinėti bylų kaip aukščiausiasis teismas. Taigi ketvirtosios instancijos peticijos kyla iš pareiškėjų klaidingo supratimo apie Teismo vaidmenį ir Konvencijoje nustatyto teisminio mechanizmo pobūdį. </w:t>
      </w:r>
    </w:p>
    <w:p w:rsidR="005A1054" w:rsidRPr="00965B36" w:rsidRDefault="005A1054" w:rsidP="005A1054">
      <w:pPr>
        <w:spacing w:line="276" w:lineRule="auto"/>
        <w:rPr>
          <w:rFonts w:eastAsia="Calibri" w:cs="Times New Roman"/>
          <w:bCs/>
          <w:szCs w:val="24"/>
        </w:rPr>
      </w:pPr>
      <w:r w:rsidRPr="00965B36">
        <w:rPr>
          <w:rFonts w:eastAsia="Calibri" w:cs="Times New Roman"/>
          <w:bCs/>
          <w:szCs w:val="24"/>
        </w:rPr>
        <w:t xml:space="preserve">Pranešėja taip pat atkreipė dėmesį, į Teismo teisėjų atrankos procesą. Teisėjus nuo kiekvienos Aukštosios Susitariančiosios Šalies renka Parlamentinė Asamblėja dalyvaujančių narių balsų dauguma iš trijų kandidatų, kuriuos pasiūlo Aukštoji Susitariančioji Šalis, sąrašo. Valstybės narės turėtų užtikrinti, kad Teismo teisėjai atitiktų visus Konvencijoje keliamus kriterijus, be to, vienas iš būtinų reikalavimų turėtų </w:t>
      </w:r>
      <w:r w:rsidRPr="00B32EE3">
        <w:rPr>
          <w:rFonts w:eastAsia="Calibri" w:cs="Times New Roman"/>
          <w:bCs/>
          <w:szCs w:val="24"/>
        </w:rPr>
        <w:t>būti praktinio teisinio darbo patirtis.</w:t>
      </w:r>
    </w:p>
    <w:p w:rsidR="004D4D41" w:rsidRPr="00B32EE3" w:rsidRDefault="004D4D41" w:rsidP="009648A7">
      <w:pPr>
        <w:spacing w:before="100" w:beforeAutospacing="1" w:after="100" w:afterAutospacing="1" w:line="240" w:lineRule="auto"/>
        <w:ind w:firstLine="0"/>
        <w:jc w:val="center"/>
        <w:rPr>
          <w:rFonts w:eastAsia="Times New Roman" w:cs="Times New Roman"/>
          <w:i/>
          <w:szCs w:val="24"/>
          <w:lang w:eastAsia="lt-LT"/>
        </w:rPr>
      </w:pPr>
      <w:r w:rsidRPr="00B32EE3">
        <w:rPr>
          <w:rFonts w:eastAsia="Times New Roman" w:cs="Times New Roman"/>
          <w:i/>
          <w:szCs w:val="24"/>
          <w:lang w:eastAsia="lt-LT"/>
        </w:rPr>
        <w:t xml:space="preserve">Susitikimas su </w:t>
      </w:r>
      <w:r w:rsidR="00704A89" w:rsidRPr="00B32EE3">
        <w:rPr>
          <w:rFonts w:eastAsia="Times New Roman" w:cs="Times New Roman"/>
          <w:i/>
          <w:szCs w:val="24"/>
          <w:lang w:eastAsia="lt-LT"/>
        </w:rPr>
        <w:t xml:space="preserve"> EŽTT sprendimų </w:t>
      </w:r>
      <w:r w:rsidR="002C56A1" w:rsidRPr="00B32EE3">
        <w:rPr>
          <w:rFonts w:eastAsia="Calibri" w:cs="Times New Roman"/>
          <w:i/>
          <w:lang w:eastAsia="en-GB"/>
        </w:rPr>
        <w:t>vykdymo</w:t>
      </w:r>
      <w:r w:rsidR="002C56A1" w:rsidRPr="00B32EE3">
        <w:rPr>
          <w:rFonts w:eastAsia="Times New Roman" w:cs="Times New Roman"/>
          <w:i/>
          <w:szCs w:val="24"/>
          <w:lang w:eastAsia="lt-LT"/>
        </w:rPr>
        <w:t xml:space="preserve"> priežiūros departamento </w:t>
      </w:r>
      <w:r w:rsidR="004940AA" w:rsidRPr="00B32EE3">
        <w:rPr>
          <w:rFonts w:eastAsia="Times New Roman" w:cs="Times New Roman"/>
          <w:i/>
          <w:szCs w:val="24"/>
          <w:lang w:eastAsia="lt-LT"/>
        </w:rPr>
        <w:t>atstovais</w:t>
      </w:r>
    </w:p>
    <w:p w:rsidR="004940AA" w:rsidRPr="00965B36" w:rsidRDefault="004940AA" w:rsidP="00737BDD">
      <w:pPr>
        <w:spacing w:line="240" w:lineRule="auto"/>
        <w:rPr>
          <w:rFonts w:eastAsia="Times New Roman" w:cs="Times New Roman"/>
          <w:szCs w:val="24"/>
          <w:lang w:eastAsia="lt-LT"/>
        </w:rPr>
      </w:pPr>
      <w:r w:rsidRPr="00965B36">
        <w:rPr>
          <w:rFonts w:eastAsia="Times New Roman" w:cs="Times New Roman"/>
          <w:szCs w:val="24"/>
          <w:lang w:eastAsia="lt-LT"/>
        </w:rPr>
        <w:t xml:space="preserve">Susitikime dalyvavo EŽTT sprendimų </w:t>
      </w:r>
      <w:r w:rsidRPr="00965B36">
        <w:rPr>
          <w:rFonts w:eastAsia="Calibri" w:cs="Times New Roman"/>
          <w:szCs w:val="24"/>
          <w:lang w:eastAsia="en-GB"/>
        </w:rPr>
        <w:t>vykdymo</w:t>
      </w:r>
      <w:r w:rsidRPr="00965B36">
        <w:rPr>
          <w:rFonts w:eastAsia="Times New Roman" w:cs="Times New Roman"/>
          <w:szCs w:val="24"/>
          <w:lang w:eastAsia="lt-LT"/>
        </w:rPr>
        <w:t xml:space="preserve"> priežiūros departamento skyriaus vedėjas Özgür DERMAN ir kiti skyriaus atstovai.</w:t>
      </w:r>
      <w:r w:rsidR="001F450E" w:rsidRPr="00965B36">
        <w:rPr>
          <w:rFonts w:eastAsia="Times New Roman" w:cs="Times New Roman"/>
          <w:szCs w:val="24"/>
          <w:lang w:eastAsia="lt-LT"/>
        </w:rPr>
        <w:t xml:space="preserve"> </w:t>
      </w:r>
      <w:r w:rsidRPr="00965B36">
        <w:rPr>
          <w:rFonts w:eastAsia="Times New Roman" w:cs="Times New Roman"/>
          <w:szCs w:val="24"/>
          <w:lang w:eastAsia="lt-LT"/>
        </w:rPr>
        <w:t xml:space="preserve">Pažymėtina, kad ET ne kartą ragino nacionalinius parlamentus kuo aktyviau įsitraukti ir vykdyti parlamentinė kontrolę kaip jų </w:t>
      </w:r>
      <w:r w:rsidR="009648A7" w:rsidRPr="00965B36">
        <w:rPr>
          <w:rFonts w:eastAsia="Times New Roman" w:cs="Times New Roman"/>
          <w:szCs w:val="24"/>
          <w:lang w:eastAsia="lt-LT"/>
        </w:rPr>
        <w:t>V</w:t>
      </w:r>
      <w:r w:rsidRPr="00965B36">
        <w:rPr>
          <w:rFonts w:eastAsia="Times New Roman" w:cs="Times New Roman"/>
          <w:szCs w:val="24"/>
          <w:lang w:eastAsia="lt-LT"/>
        </w:rPr>
        <w:t>yriausybės įgyvendina EŽTT priimtus spre</w:t>
      </w:r>
      <w:r w:rsidR="002A21BE" w:rsidRPr="00965B36">
        <w:rPr>
          <w:rFonts w:eastAsia="Times New Roman" w:cs="Times New Roman"/>
          <w:szCs w:val="24"/>
          <w:lang w:eastAsia="lt-LT"/>
        </w:rPr>
        <w:t>n</w:t>
      </w:r>
      <w:r w:rsidRPr="00965B36">
        <w:rPr>
          <w:rFonts w:eastAsia="Times New Roman" w:cs="Times New Roman"/>
          <w:szCs w:val="24"/>
          <w:lang w:eastAsia="lt-LT"/>
        </w:rPr>
        <w:t xml:space="preserve">dimus. ET Parlamentinė Asamblėja yra priėmusi ne </w:t>
      </w:r>
      <w:r w:rsidR="00D34829" w:rsidRPr="00965B36">
        <w:rPr>
          <w:rFonts w:eastAsia="Times New Roman" w:cs="Times New Roman"/>
          <w:szCs w:val="24"/>
          <w:lang w:eastAsia="lt-LT"/>
        </w:rPr>
        <w:t>vieną rezoliuciją šiuo klausimu</w:t>
      </w:r>
      <w:r w:rsidRPr="00965B36">
        <w:rPr>
          <w:rFonts w:eastAsia="Times New Roman" w:cs="Times New Roman"/>
          <w:szCs w:val="24"/>
          <w:lang w:eastAsia="lt-LT"/>
        </w:rPr>
        <w:t>, ne kartą yra pasisakiusi ir raginusi parlamentarus skirti daugiau dėmesio šiems klausimams bei savo nacionaliniuose teisės aktuose numatyti veiksmingus ir efektyvius mechanizmus EŽTT sprendimų įgyvendinimo vykdymui.</w:t>
      </w:r>
    </w:p>
    <w:p w:rsidR="002A21BE" w:rsidRPr="00965B36" w:rsidRDefault="004940AA" w:rsidP="00737BDD">
      <w:pPr>
        <w:spacing w:line="240" w:lineRule="auto"/>
        <w:ind w:firstLine="567"/>
        <w:rPr>
          <w:rFonts w:eastAsia="Times New Roman" w:cs="Times New Roman"/>
          <w:szCs w:val="24"/>
          <w:lang w:eastAsia="lt-LT"/>
        </w:rPr>
      </w:pPr>
      <w:r w:rsidRPr="00965B36">
        <w:rPr>
          <w:rFonts w:eastAsia="Times New Roman" w:cs="Times New Roman"/>
          <w:szCs w:val="24"/>
          <w:lang w:eastAsia="lt-LT"/>
        </w:rPr>
        <w:t>Konvencijos 46 straipsnyje nustatytas šalių narių įsipareigojimas vykdyti galutinį Tesimo sprendimą kiekvienoje byloje, kurios šalis jos yra. Galutinis Teismo</w:t>
      </w:r>
      <w:r w:rsidR="002A21BE" w:rsidRPr="00965B36">
        <w:rPr>
          <w:rFonts w:eastAsia="Times New Roman" w:cs="Times New Roman"/>
          <w:szCs w:val="24"/>
          <w:lang w:eastAsia="lt-LT"/>
        </w:rPr>
        <w:t xml:space="preserve"> </w:t>
      </w:r>
      <w:r w:rsidR="002A21BE" w:rsidRPr="00965B36">
        <w:rPr>
          <w:rFonts w:eastAsia="Times New Roman" w:cs="Times New Roman"/>
          <w:color w:val="000000"/>
          <w:szCs w:val="24"/>
          <w:lang w:eastAsia="lt-LT"/>
        </w:rPr>
        <w:t xml:space="preserve">sprendimas perduodamas </w:t>
      </w:r>
      <w:r w:rsidR="002A21BE" w:rsidRPr="00965B36">
        <w:rPr>
          <w:rFonts w:cs="Times New Roman"/>
          <w:color w:val="000000"/>
          <w:szCs w:val="24"/>
        </w:rPr>
        <w:t>Europos Tarybos Ministrų Komitetui, kuris prižiūri sprendimo vykdymą, ypač siekdamas užtikrinti Teismo nustatytos žalos atlyginimo mokėjimą pareiškėjui.</w:t>
      </w:r>
    </w:p>
    <w:p w:rsidR="002A21BE" w:rsidRPr="00965B36" w:rsidRDefault="002A21BE" w:rsidP="00737BDD">
      <w:pPr>
        <w:pStyle w:val="Pa6"/>
        <w:spacing w:line="276" w:lineRule="auto"/>
        <w:ind w:firstLine="567"/>
        <w:jc w:val="both"/>
        <w:rPr>
          <w:rFonts w:ascii="Times New Roman" w:hAnsi="Times New Roman" w:cs="Times New Roman"/>
          <w:color w:val="000000"/>
        </w:rPr>
      </w:pPr>
      <w:r w:rsidRPr="00965B36">
        <w:rPr>
          <w:rFonts w:ascii="Times New Roman" w:hAnsi="Times New Roman" w:cs="Times New Roman"/>
          <w:color w:val="000000"/>
        </w:rPr>
        <w:t>Kai Teismas nustato, kad buvo padarytas pažeidimas, byloje dalyvaujanti Valstybė turi atsakingai užtikrinti, kad tokie pažeidimai ateityje nepasikartotų, priešingu atveju Teismas gali priimti naujus sprendimus prieš Valstybę. Tam</w:t>
      </w:r>
      <w:r w:rsidR="009648A7" w:rsidRPr="00965B36">
        <w:rPr>
          <w:rFonts w:ascii="Times New Roman" w:hAnsi="Times New Roman" w:cs="Times New Roman"/>
          <w:color w:val="000000"/>
        </w:rPr>
        <w:t xml:space="preserve"> tikrais atvejais Valstybė turi</w:t>
      </w:r>
      <w:r w:rsidRPr="00965B36">
        <w:rPr>
          <w:rFonts w:ascii="Times New Roman" w:hAnsi="Times New Roman" w:cs="Times New Roman"/>
          <w:color w:val="000000"/>
        </w:rPr>
        <w:t xml:space="preserve"> pakeisti savo teisės aktus, kad suderintų juos su Konvencijos nuostatomis. </w:t>
      </w:r>
    </w:p>
    <w:p w:rsidR="002A21BE" w:rsidRPr="00965B36" w:rsidRDefault="002A21BE" w:rsidP="00737BDD">
      <w:pPr>
        <w:spacing w:line="276" w:lineRule="auto"/>
        <w:rPr>
          <w:rFonts w:cs="Times New Roman"/>
          <w:color w:val="000000"/>
          <w:szCs w:val="24"/>
        </w:rPr>
      </w:pPr>
      <w:r w:rsidRPr="00965B36">
        <w:rPr>
          <w:rFonts w:cs="Times New Roman"/>
          <w:color w:val="000000"/>
          <w:szCs w:val="24"/>
        </w:rPr>
        <w:t>Kai Teismas nustato, kad Valstybė padarė Konvencijos pažeidimą, o pareiškėjas patyrė žalą, pareiškėjui yra priteisiamas teisingas atlyginimas, t.y. pinigų suma, kuria yra kompensuojama padaryta žala. Ministrų Komitetas užtikrina, kad priteista pinigų suma būtų sumokėta pareiškėjui.</w:t>
      </w:r>
    </w:p>
    <w:p w:rsidR="002A21BE" w:rsidRPr="00965B36" w:rsidRDefault="002A21BE" w:rsidP="00737BDD">
      <w:pPr>
        <w:spacing w:line="276" w:lineRule="auto"/>
        <w:ind w:firstLine="567"/>
        <w:rPr>
          <w:rFonts w:eastAsia="Times New Roman" w:cs="Times New Roman"/>
          <w:szCs w:val="24"/>
          <w:lang w:eastAsia="lt-LT"/>
        </w:rPr>
      </w:pPr>
      <w:r w:rsidRPr="00965B36">
        <w:rPr>
          <w:rFonts w:cs="Times New Roman"/>
          <w:szCs w:val="24"/>
        </w:rPr>
        <w:t xml:space="preserve">Informaciją Europos Tarybos Ministrų Komitetui apie Teismo sprendimų vykdymą, taip pat ir apie priimtas individualiąsias ir bendrąsias priemones teikia Vyriausybės atstovas Europos žmogaus teisių teisme. </w:t>
      </w:r>
    </w:p>
    <w:p w:rsidR="002A21BE" w:rsidRPr="00965B36" w:rsidRDefault="002A21BE" w:rsidP="00737BDD">
      <w:pPr>
        <w:spacing w:line="276" w:lineRule="auto"/>
        <w:rPr>
          <w:rFonts w:cs="Times New Roman"/>
          <w:szCs w:val="24"/>
        </w:rPr>
      </w:pPr>
      <w:r w:rsidRPr="00965B36">
        <w:rPr>
          <w:rFonts w:cs="Times New Roman"/>
          <w:szCs w:val="24"/>
        </w:rPr>
        <w:t>Sank</w:t>
      </w:r>
      <w:r w:rsidRPr="00965B36">
        <w:rPr>
          <w:rFonts w:cs="Times New Roman"/>
          <w:szCs w:val="24"/>
        </w:rPr>
        <w:softHyphen/>
        <w:t>ci</w:t>
      </w:r>
      <w:r w:rsidRPr="00965B36">
        <w:rPr>
          <w:rFonts w:cs="Times New Roman"/>
          <w:szCs w:val="24"/>
        </w:rPr>
        <w:softHyphen/>
        <w:t>jų dėl EŽŽT sprendimų nevykdymo me</w:t>
      </w:r>
      <w:r w:rsidRPr="00965B36">
        <w:rPr>
          <w:rFonts w:cs="Times New Roman"/>
          <w:szCs w:val="24"/>
        </w:rPr>
        <w:softHyphen/>
        <w:t>cha</w:t>
      </w:r>
      <w:r w:rsidRPr="00965B36">
        <w:rPr>
          <w:rFonts w:cs="Times New Roman"/>
          <w:szCs w:val="24"/>
        </w:rPr>
        <w:softHyphen/>
        <w:t>niz</w:t>
      </w:r>
      <w:r w:rsidRPr="00965B36">
        <w:rPr>
          <w:rFonts w:cs="Times New Roman"/>
          <w:szCs w:val="24"/>
        </w:rPr>
        <w:softHyphen/>
        <w:t>mo kaip to</w:t>
      </w:r>
      <w:r w:rsidRPr="00965B36">
        <w:rPr>
          <w:rFonts w:cs="Times New Roman"/>
          <w:szCs w:val="24"/>
        </w:rPr>
        <w:softHyphen/>
        <w:t>kio nė</w:t>
      </w:r>
      <w:r w:rsidRPr="00965B36">
        <w:rPr>
          <w:rFonts w:cs="Times New Roman"/>
          <w:szCs w:val="24"/>
        </w:rPr>
        <w:softHyphen/>
        <w:t>ra, bet ki</w:t>
      </w:r>
      <w:r w:rsidRPr="00965B36">
        <w:rPr>
          <w:rFonts w:cs="Times New Roman"/>
          <w:szCs w:val="24"/>
        </w:rPr>
        <w:softHyphen/>
        <w:t>ti žings</w:t>
      </w:r>
      <w:r w:rsidRPr="00965B36">
        <w:rPr>
          <w:rFonts w:cs="Times New Roman"/>
          <w:szCs w:val="24"/>
        </w:rPr>
        <w:softHyphen/>
        <w:t>niai, ku</w:t>
      </w:r>
      <w:r w:rsidRPr="00965B36">
        <w:rPr>
          <w:rFonts w:cs="Times New Roman"/>
          <w:szCs w:val="24"/>
        </w:rPr>
        <w:softHyphen/>
        <w:t>rie ga</w:t>
      </w:r>
      <w:r w:rsidRPr="00965B36">
        <w:rPr>
          <w:rFonts w:cs="Times New Roman"/>
          <w:szCs w:val="24"/>
        </w:rPr>
        <w:softHyphen/>
        <w:t>li bū</w:t>
      </w:r>
      <w:r w:rsidRPr="00965B36">
        <w:rPr>
          <w:rFonts w:cs="Times New Roman"/>
          <w:szCs w:val="24"/>
        </w:rPr>
        <w:softHyphen/>
        <w:t>ti už</w:t>
      </w:r>
      <w:r w:rsidRPr="00965B36">
        <w:rPr>
          <w:rFonts w:cs="Times New Roman"/>
          <w:szCs w:val="24"/>
        </w:rPr>
        <w:softHyphen/>
        <w:t>si</w:t>
      </w:r>
      <w:r w:rsidRPr="00965B36">
        <w:rPr>
          <w:rFonts w:cs="Times New Roman"/>
          <w:szCs w:val="24"/>
        </w:rPr>
        <w:softHyphen/>
        <w:t>tę</w:t>
      </w:r>
      <w:r w:rsidRPr="00965B36">
        <w:rPr>
          <w:rFonts w:cs="Times New Roman"/>
          <w:szCs w:val="24"/>
        </w:rPr>
        <w:softHyphen/>
        <w:t>sus ne</w:t>
      </w:r>
      <w:r w:rsidRPr="00965B36">
        <w:rPr>
          <w:rFonts w:cs="Times New Roman"/>
          <w:szCs w:val="24"/>
        </w:rPr>
        <w:softHyphen/>
        <w:t>vyk</w:t>
      </w:r>
      <w:r w:rsidRPr="00965B36">
        <w:rPr>
          <w:rFonts w:cs="Times New Roman"/>
          <w:szCs w:val="24"/>
        </w:rPr>
        <w:softHyphen/>
        <w:t>dy</w:t>
      </w:r>
      <w:r w:rsidRPr="00965B36">
        <w:rPr>
          <w:rFonts w:cs="Times New Roman"/>
          <w:szCs w:val="24"/>
        </w:rPr>
        <w:softHyphen/>
        <w:t>mo si</w:t>
      </w:r>
      <w:r w:rsidRPr="00965B36">
        <w:rPr>
          <w:rFonts w:cs="Times New Roman"/>
          <w:szCs w:val="24"/>
        </w:rPr>
        <w:softHyphen/>
        <w:t>tua</w:t>
      </w:r>
      <w:r w:rsidRPr="00965B36">
        <w:rPr>
          <w:rFonts w:cs="Times New Roman"/>
          <w:szCs w:val="24"/>
        </w:rPr>
        <w:softHyphen/>
        <w:t>ci</w:t>
      </w:r>
      <w:r w:rsidRPr="00965B36">
        <w:rPr>
          <w:rFonts w:cs="Times New Roman"/>
          <w:szCs w:val="24"/>
        </w:rPr>
        <w:softHyphen/>
        <w:t>jai, tai - šio spren</w:t>
      </w:r>
      <w:r w:rsidRPr="00965B36">
        <w:rPr>
          <w:rFonts w:cs="Times New Roman"/>
          <w:szCs w:val="24"/>
        </w:rPr>
        <w:softHyphen/>
        <w:t>di</w:t>
      </w:r>
      <w:r w:rsidRPr="00965B36">
        <w:rPr>
          <w:rFonts w:cs="Times New Roman"/>
          <w:szCs w:val="24"/>
        </w:rPr>
        <w:softHyphen/>
        <w:t>mo vyk</w:t>
      </w:r>
      <w:r w:rsidRPr="00965B36">
        <w:rPr>
          <w:rFonts w:cs="Times New Roman"/>
          <w:szCs w:val="24"/>
        </w:rPr>
        <w:softHyphen/>
        <w:t>dy</w:t>
      </w:r>
      <w:r w:rsidRPr="00965B36">
        <w:rPr>
          <w:rFonts w:cs="Times New Roman"/>
          <w:szCs w:val="24"/>
        </w:rPr>
        <w:softHyphen/>
        <w:t>mo prie</w:t>
      </w:r>
      <w:r w:rsidRPr="00965B36">
        <w:rPr>
          <w:rFonts w:cs="Times New Roman"/>
          <w:szCs w:val="24"/>
        </w:rPr>
        <w:softHyphen/>
        <w:t>žiū</w:t>
      </w:r>
      <w:r w:rsidRPr="00965B36">
        <w:rPr>
          <w:rFonts w:cs="Times New Roman"/>
          <w:szCs w:val="24"/>
        </w:rPr>
        <w:softHyphen/>
        <w:t>ra per</w:t>
      </w:r>
      <w:r w:rsidRPr="00965B36">
        <w:rPr>
          <w:rFonts w:cs="Times New Roman"/>
          <w:szCs w:val="24"/>
        </w:rPr>
        <w:softHyphen/>
        <w:t>duo</w:t>
      </w:r>
      <w:r w:rsidRPr="00965B36">
        <w:rPr>
          <w:rFonts w:cs="Times New Roman"/>
          <w:szCs w:val="24"/>
        </w:rPr>
        <w:softHyphen/>
        <w:t>da</w:t>
      </w:r>
      <w:r w:rsidRPr="00965B36">
        <w:rPr>
          <w:rFonts w:cs="Times New Roman"/>
          <w:szCs w:val="24"/>
        </w:rPr>
        <w:softHyphen/>
        <w:t>ma su</w:t>
      </w:r>
      <w:r w:rsidRPr="00965B36">
        <w:rPr>
          <w:rFonts w:cs="Times New Roman"/>
          <w:szCs w:val="24"/>
        </w:rPr>
        <w:softHyphen/>
        <w:t>stip</w:t>
      </w:r>
      <w:r w:rsidRPr="00965B36">
        <w:rPr>
          <w:rFonts w:cs="Times New Roman"/>
          <w:szCs w:val="24"/>
        </w:rPr>
        <w:softHyphen/>
        <w:t>rin</w:t>
      </w:r>
      <w:r w:rsidRPr="00965B36">
        <w:rPr>
          <w:rFonts w:cs="Times New Roman"/>
          <w:szCs w:val="24"/>
        </w:rPr>
        <w:softHyphen/>
        <w:t>tai sprendimo įgyvendinimo pro</w:t>
      </w:r>
      <w:r w:rsidRPr="00965B36">
        <w:rPr>
          <w:rFonts w:cs="Times New Roman"/>
          <w:szCs w:val="24"/>
        </w:rPr>
        <w:softHyphen/>
        <w:t>ce</w:t>
      </w:r>
      <w:r w:rsidRPr="00965B36">
        <w:rPr>
          <w:rFonts w:cs="Times New Roman"/>
          <w:szCs w:val="24"/>
        </w:rPr>
        <w:softHyphen/>
        <w:t>dū</w:t>
      </w:r>
      <w:r w:rsidRPr="00965B36">
        <w:rPr>
          <w:rFonts w:cs="Times New Roman"/>
          <w:szCs w:val="24"/>
        </w:rPr>
        <w:softHyphen/>
        <w:t>rai. Tai reiš</w:t>
      </w:r>
      <w:r w:rsidRPr="00965B36">
        <w:rPr>
          <w:rFonts w:cs="Times New Roman"/>
          <w:szCs w:val="24"/>
        </w:rPr>
        <w:softHyphen/>
        <w:t>kia, kad klau</w:t>
      </w:r>
      <w:r w:rsidRPr="00965B36">
        <w:rPr>
          <w:rFonts w:cs="Times New Roman"/>
          <w:szCs w:val="24"/>
        </w:rPr>
        <w:softHyphen/>
        <w:t>si</w:t>
      </w:r>
      <w:r w:rsidRPr="00965B36">
        <w:rPr>
          <w:rFonts w:cs="Times New Roman"/>
          <w:szCs w:val="24"/>
        </w:rPr>
        <w:softHyphen/>
        <w:t>mas ga</w:t>
      </w:r>
      <w:r w:rsidRPr="00965B36">
        <w:rPr>
          <w:rFonts w:cs="Times New Roman"/>
          <w:szCs w:val="24"/>
        </w:rPr>
        <w:softHyphen/>
        <w:t>li ke</w:t>
      </w:r>
      <w:r w:rsidRPr="00965B36">
        <w:rPr>
          <w:rFonts w:cs="Times New Roman"/>
          <w:szCs w:val="24"/>
        </w:rPr>
        <w:softHyphen/>
        <w:t>liau</w:t>
      </w:r>
      <w:r w:rsidRPr="00965B36">
        <w:rPr>
          <w:rFonts w:cs="Times New Roman"/>
          <w:szCs w:val="24"/>
        </w:rPr>
        <w:softHyphen/>
        <w:t xml:space="preserve">ti </w:t>
      </w:r>
      <w:r w:rsidR="009648A7" w:rsidRPr="00965B36">
        <w:rPr>
          <w:rFonts w:cs="Times New Roman"/>
          <w:szCs w:val="24"/>
        </w:rPr>
        <w:t>į vie</w:t>
      </w:r>
      <w:r w:rsidR="009648A7" w:rsidRPr="00965B36">
        <w:rPr>
          <w:rFonts w:cs="Times New Roman"/>
          <w:szCs w:val="24"/>
        </w:rPr>
        <w:softHyphen/>
        <w:t>šus de</w:t>
      </w:r>
      <w:r w:rsidR="009648A7" w:rsidRPr="00965B36">
        <w:rPr>
          <w:rFonts w:cs="Times New Roman"/>
          <w:szCs w:val="24"/>
        </w:rPr>
        <w:softHyphen/>
        <w:t>ba</w:t>
      </w:r>
      <w:r w:rsidR="009648A7" w:rsidRPr="00965B36">
        <w:rPr>
          <w:rFonts w:cs="Times New Roman"/>
          <w:szCs w:val="24"/>
        </w:rPr>
        <w:softHyphen/>
        <w:t>tus Mi</w:t>
      </w:r>
      <w:r w:rsidR="009648A7" w:rsidRPr="00965B36">
        <w:rPr>
          <w:rFonts w:cs="Times New Roman"/>
          <w:szCs w:val="24"/>
        </w:rPr>
        <w:softHyphen/>
        <w:t>nis</w:t>
      </w:r>
      <w:r w:rsidR="009648A7" w:rsidRPr="00965B36">
        <w:rPr>
          <w:rFonts w:cs="Times New Roman"/>
          <w:szCs w:val="24"/>
        </w:rPr>
        <w:softHyphen/>
        <w:t>trų K</w:t>
      </w:r>
      <w:r w:rsidRPr="00965B36">
        <w:rPr>
          <w:rFonts w:cs="Times New Roman"/>
          <w:szCs w:val="24"/>
        </w:rPr>
        <w:t>o</w:t>
      </w:r>
      <w:r w:rsidRPr="00965B36">
        <w:rPr>
          <w:rFonts w:cs="Times New Roman"/>
          <w:szCs w:val="24"/>
        </w:rPr>
        <w:softHyphen/>
        <w:t>mi</w:t>
      </w:r>
      <w:r w:rsidRPr="00965B36">
        <w:rPr>
          <w:rFonts w:cs="Times New Roman"/>
          <w:szCs w:val="24"/>
        </w:rPr>
        <w:softHyphen/>
        <w:t>te</w:t>
      </w:r>
      <w:r w:rsidRPr="00965B36">
        <w:rPr>
          <w:rFonts w:cs="Times New Roman"/>
          <w:szCs w:val="24"/>
        </w:rPr>
        <w:softHyphen/>
        <w:t>to po</w:t>
      </w:r>
      <w:r w:rsidRPr="00965B36">
        <w:rPr>
          <w:rFonts w:cs="Times New Roman"/>
          <w:szCs w:val="24"/>
        </w:rPr>
        <w:softHyphen/>
        <w:t>sė</w:t>
      </w:r>
      <w:r w:rsidRPr="00965B36">
        <w:rPr>
          <w:rFonts w:cs="Times New Roman"/>
          <w:szCs w:val="24"/>
        </w:rPr>
        <w:softHyphen/>
        <w:t>džiuo</w:t>
      </w:r>
      <w:r w:rsidRPr="00965B36">
        <w:rPr>
          <w:rFonts w:cs="Times New Roman"/>
          <w:szCs w:val="24"/>
        </w:rPr>
        <w:softHyphen/>
        <w:t>se ir vals</w:t>
      </w:r>
      <w:r w:rsidRPr="00965B36">
        <w:rPr>
          <w:rFonts w:cs="Times New Roman"/>
          <w:szCs w:val="24"/>
        </w:rPr>
        <w:softHyphen/>
        <w:t>ty</w:t>
      </w:r>
      <w:r w:rsidRPr="00965B36">
        <w:rPr>
          <w:rFonts w:cs="Times New Roman"/>
          <w:szCs w:val="24"/>
        </w:rPr>
        <w:softHyphen/>
        <w:t>bei tek</w:t>
      </w:r>
      <w:r w:rsidRPr="00965B36">
        <w:rPr>
          <w:rFonts w:cs="Times New Roman"/>
          <w:szCs w:val="24"/>
        </w:rPr>
        <w:softHyphen/>
        <w:t>tų vie</w:t>
      </w:r>
      <w:r w:rsidRPr="00965B36">
        <w:rPr>
          <w:rFonts w:cs="Times New Roman"/>
          <w:szCs w:val="24"/>
        </w:rPr>
        <w:softHyphen/>
        <w:t>šai aiš</w:t>
      </w:r>
      <w:r w:rsidRPr="00965B36">
        <w:rPr>
          <w:rFonts w:cs="Times New Roman"/>
          <w:szCs w:val="24"/>
        </w:rPr>
        <w:softHyphen/>
        <w:t>kin</w:t>
      </w:r>
      <w:r w:rsidRPr="00965B36">
        <w:rPr>
          <w:rFonts w:cs="Times New Roman"/>
          <w:szCs w:val="24"/>
        </w:rPr>
        <w:softHyphen/>
        <w:t>tis, ko</w:t>
      </w:r>
      <w:r w:rsidRPr="00965B36">
        <w:rPr>
          <w:rFonts w:cs="Times New Roman"/>
          <w:szCs w:val="24"/>
        </w:rPr>
        <w:softHyphen/>
        <w:t>dėl ne</w:t>
      </w:r>
      <w:r w:rsidRPr="00965B36">
        <w:rPr>
          <w:rFonts w:cs="Times New Roman"/>
          <w:szCs w:val="24"/>
        </w:rPr>
        <w:softHyphen/>
        <w:t>vyk</w:t>
      </w:r>
      <w:r w:rsidRPr="00965B36">
        <w:rPr>
          <w:rFonts w:cs="Times New Roman"/>
          <w:szCs w:val="24"/>
        </w:rPr>
        <w:softHyphen/>
        <w:t>do teis</w:t>
      </w:r>
      <w:r w:rsidRPr="00965B36">
        <w:rPr>
          <w:rFonts w:cs="Times New Roman"/>
          <w:szCs w:val="24"/>
        </w:rPr>
        <w:softHyphen/>
        <w:t>mo spren</w:t>
      </w:r>
      <w:r w:rsidRPr="00965B36">
        <w:rPr>
          <w:rFonts w:cs="Times New Roman"/>
          <w:szCs w:val="24"/>
        </w:rPr>
        <w:softHyphen/>
        <w:t>di</w:t>
      </w:r>
      <w:r w:rsidRPr="00965B36">
        <w:rPr>
          <w:rFonts w:cs="Times New Roman"/>
          <w:szCs w:val="24"/>
        </w:rPr>
        <w:softHyphen/>
        <w:t xml:space="preserve">mo. </w:t>
      </w:r>
    </w:p>
    <w:p w:rsidR="00D34829" w:rsidRPr="00965B36" w:rsidRDefault="009648A7" w:rsidP="009648A7">
      <w:pPr>
        <w:autoSpaceDE w:val="0"/>
        <w:autoSpaceDN w:val="0"/>
        <w:adjustRightInd w:val="0"/>
        <w:spacing w:line="240" w:lineRule="auto"/>
        <w:rPr>
          <w:rFonts w:cs="Times New Roman"/>
          <w:bCs/>
          <w:szCs w:val="24"/>
        </w:rPr>
      </w:pPr>
      <w:r w:rsidRPr="00965B36">
        <w:rPr>
          <w:rFonts w:cs="Times New Roman"/>
          <w:bCs/>
          <w:szCs w:val="24"/>
        </w:rPr>
        <w:lastRenderedPageBreak/>
        <w:t xml:space="preserve">Lietuvos atžvilgiu </w:t>
      </w:r>
      <w:r w:rsidR="00D34829" w:rsidRPr="00965B36">
        <w:rPr>
          <w:rFonts w:cs="Times New Roman"/>
          <w:bCs/>
          <w:szCs w:val="24"/>
        </w:rPr>
        <w:t>2014 m. Teismo sprendimų vykdymas buvo koordinuojamas iš viso 41 byloje, iš jų 15 bylų,</w:t>
      </w:r>
      <w:r w:rsidRPr="00965B36">
        <w:rPr>
          <w:rFonts w:cs="Times New Roman"/>
          <w:bCs/>
          <w:szCs w:val="24"/>
        </w:rPr>
        <w:t xml:space="preserve"> </w:t>
      </w:r>
      <w:r w:rsidR="00D34829" w:rsidRPr="00965B36">
        <w:rPr>
          <w:rFonts w:cs="Times New Roman"/>
          <w:bCs/>
          <w:szCs w:val="24"/>
        </w:rPr>
        <w:t>kuriose pažeidimai buvo konstatuoti dėl pernelyg ilgos civilinių, baudžiamųjų ir (ar) administracinių bylų nagrinėjimo trukmės, Ministrų Komitetas 2014 m. gruodžio 17 d. priėmė galutinę rezoliuciją Nr. CM/ResDH(2014)291 dėl vykdymo priežiūros 15 bylų prieš Lietuvą</w:t>
      </w:r>
    </w:p>
    <w:p w:rsidR="00D34829" w:rsidRPr="00965B36" w:rsidRDefault="00D34829" w:rsidP="00737BDD">
      <w:pPr>
        <w:autoSpaceDE w:val="0"/>
        <w:autoSpaceDN w:val="0"/>
        <w:adjustRightInd w:val="0"/>
        <w:spacing w:line="240" w:lineRule="auto"/>
        <w:ind w:firstLine="0"/>
        <w:rPr>
          <w:rFonts w:cs="Times New Roman"/>
          <w:bCs/>
          <w:szCs w:val="24"/>
        </w:rPr>
      </w:pPr>
      <w:r w:rsidRPr="00965B36">
        <w:rPr>
          <w:rFonts w:cs="Times New Roman"/>
          <w:bCs/>
          <w:szCs w:val="24"/>
        </w:rPr>
        <w:t>užbaigimo.</w:t>
      </w:r>
    </w:p>
    <w:p w:rsidR="00D34829" w:rsidRPr="00965B36" w:rsidRDefault="009648A7" w:rsidP="009648A7">
      <w:pPr>
        <w:autoSpaceDE w:val="0"/>
        <w:autoSpaceDN w:val="0"/>
        <w:adjustRightInd w:val="0"/>
        <w:spacing w:line="240" w:lineRule="auto"/>
        <w:rPr>
          <w:rFonts w:cs="Times New Roman"/>
          <w:szCs w:val="24"/>
        </w:rPr>
      </w:pPr>
      <w:r w:rsidRPr="00965B36">
        <w:rPr>
          <w:rFonts w:cs="Times New Roman"/>
          <w:szCs w:val="24"/>
        </w:rPr>
        <w:t>Departamento atstovai pažymėjo, kad</w:t>
      </w:r>
      <w:r w:rsidR="00D34829" w:rsidRPr="00965B36">
        <w:rPr>
          <w:rFonts w:cs="Times New Roman"/>
          <w:szCs w:val="24"/>
        </w:rPr>
        <w:t xml:space="preserve"> Teismo sprendimų vykdymo srityje daugiausia problemų kelia vadinamųjų bendrųjų priemonių priėmimas, ypač jei jis susijęs su būtinais teisinio reguliavimo pakeitimais ir (ar) struktūrinių-sisteminių reformų reikalaujančiais vykdomosios valdžios veiksmais. Šiuo požiūriu iš 25 bylų prieš Lietuvą, kuriose 2014 m. gruodžio 31 d. duomenimis buvo atliekamas Teismo sprendimų vykdymo koordinavimas, 4 bylose sprendimų įvykdymui reikalinga priimti atitinkamus teisinio reguliavimo pakeitimus.</w:t>
      </w:r>
    </w:p>
    <w:p w:rsidR="004201F3" w:rsidRPr="00965B36" w:rsidRDefault="00D34829" w:rsidP="009648A7">
      <w:pPr>
        <w:autoSpaceDE w:val="0"/>
        <w:autoSpaceDN w:val="0"/>
        <w:adjustRightInd w:val="0"/>
        <w:spacing w:line="240" w:lineRule="auto"/>
        <w:rPr>
          <w:rFonts w:cs="Times New Roman"/>
          <w:szCs w:val="24"/>
        </w:rPr>
      </w:pPr>
      <w:r w:rsidRPr="00965B36">
        <w:rPr>
          <w:rFonts w:cs="Times New Roman"/>
          <w:szCs w:val="24"/>
        </w:rPr>
        <w:t xml:space="preserve">Siekiant įvykdyti sprendimą byloje </w:t>
      </w:r>
      <w:r w:rsidRPr="00965B36">
        <w:rPr>
          <w:rFonts w:ascii="Times New Roman,Italic" w:hAnsi="Times New Roman,Italic" w:cs="Times New Roman,Italic"/>
          <w:i/>
          <w:iCs/>
          <w:szCs w:val="24"/>
        </w:rPr>
        <w:t>D.D. prieš Lietuvą</w:t>
      </w:r>
      <w:r w:rsidR="00BA1F10" w:rsidRPr="00965B36">
        <w:rPr>
          <w:rFonts w:cs="Times New Roman"/>
          <w:szCs w:val="24"/>
        </w:rPr>
        <w:t>, buvo būtina</w:t>
      </w:r>
      <w:r w:rsidRPr="00965B36">
        <w:rPr>
          <w:rFonts w:cs="Times New Roman"/>
          <w:szCs w:val="24"/>
        </w:rPr>
        <w:t xml:space="preserve"> pašalinti psichikos sutrikimų turinčių asmenų teisių pažeidimų priežastis, įskaitant ir neveiksnumo instituto </w:t>
      </w:r>
      <w:r w:rsidR="001F450E" w:rsidRPr="00965B36">
        <w:rPr>
          <w:rFonts w:cs="Times New Roman"/>
          <w:szCs w:val="24"/>
        </w:rPr>
        <w:t xml:space="preserve"> r</w:t>
      </w:r>
      <w:r w:rsidRPr="00965B36">
        <w:rPr>
          <w:rFonts w:cs="Times New Roman"/>
          <w:szCs w:val="24"/>
        </w:rPr>
        <w:t xml:space="preserve">eformavimą. </w:t>
      </w:r>
      <w:r w:rsidR="001F450E" w:rsidRPr="00965B36">
        <w:rPr>
          <w:rFonts w:cs="Times New Roman"/>
          <w:szCs w:val="24"/>
        </w:rPr>
        <w:t xml:space="preserve"> </w:t>
      </w:r>
      <w:r w:rsidR="004201F3" w:rsidRPr="00965B36">
        <w:rPr>
          <w:rFonts w:cs="Times New Roman"/>
          <w:szCs w:val="24"/>
        </w:rPr>
        <w:t xml:space="preserve">Seimo nariai informavo, kad  </w:t>
      </w:r>
      <w:r w:rsidRPr="00965B36">
        <w:rPr>
          <w:rFonts w:cs="Times New Roman"/>
          <w:szCs w:val="24"/>
        </w:rPr>
        <w:t>įstatymų projekt</w:t>
      </w:r>
      <w:r w:rsidR="004201F3" w:rsidRPr="00965B36">
        <w:rPr>
          <w:rFonts w:cs="Times New Roman"/>
          <w:szCs w:val="24"/>
        </w:rPr>
        <w:t xml:space="preserve">ai, susiję </w:t>
      </w:r>
      <w:r w:rsidRPr="00965B36">
        <w:rPr>
          <w:rFonts w:cs="Times New Roman"/>
          <w:szCs w:val="24"/>
        </w:rPr>
        <w:t>su asmens veiksnumo ribojimo instituto tobulinimu bei papildomų procesinių garantijų neveiksniais ir ribotai veiksniais pripažintų asmenų teisėms įgyvendinti ir ginti į</w:t>
      </w:r>
      <w:r w:rsidR="004201F3" w:rsidRPr="00965B36">
        <w:rPr>
          <w:rFonts w:cs="Times New Roman"/>
          <w:szCs w:val="24"/>
        </w:rPr>
        <w:t xml:space="preserve">tvirtinimu buvo </w:t>
      </w:r>
      <w:r w:rsidRPr="00965B36">
        <w:rPr>
          <w:rFonts w:cs="Times New Roman"/>
          <w:szCs w:val="24"/>
        </w:rPr>
        <w:t>pri</w:t>
      </w:r>
      <w:r w:rsidR="009648A7" w:rsidRPr="00965B36">
        <w:rPr>
          <w:rFonts w:cs="Times New Roman"/>
          <w:szCs w:val="24"/>
        </w:rPr>
        <w:t>imti  2015 m.</w:t>
      </w:r>
      <w:r w:rsidR="004201F3" w:rsidRPr="00965B36">
        <w:rPr>
          <w:rFonts w:cs="Times New Roman"/>
          <w:szCs w:val="24"/>
        </w:rPr>
        <w:t xml:space="preserve"> Seimo pavasario sesijoje.</w:t>
      </w:r>
    </w:p>
    <w:p w:rsidR="00BA1F10" w:rsidRPr="00965B36" w:rsidRDefault="00D34829" w:rsidP="009648A7">
      <w:pPr>
        <w:autoSpaceDE w:val="0"/>
        <w:autoSpaceDN w:val="0"/>
        <w:adjustRightInd w:val="0"/>
        <w:spacing w:line="240" w:lineRule="auto"/>
        <w:rPr>
          <w:rFonts w:cs="Times New Roman"/>
          <w:szCs w:val="24"/>
        </w:rPr>
      </w:pPr>
      <w:r w:rsidRPr="00965B36">
        <w:rPr>
          <w:rFonts w:cs="Times New Roman"/>
          <w:szCs w:val="24"/>
        </w:rPr>
        <w:t>Siekiant įvykdyti sprendimą</w:t>
      </w:r>
      <w:r w:rsidR="004201F3" w:rsidRPr="00965B36">
        <w:rPr>
          <w:rFonts w:cs="Times New Roman"/>
          <w:szCs w:val="24"/>
        </w:rPr>
        <w:t xml:space="preserve"> </w:t>
      </w:r>
      <w:r w:rsidRPr="00965B36">
        <w:rPr>
          <w:rFonts w:cs="Times New Roman"/>
          <w:szCs w:val="24"/>
        </w:rPr>
        <w:t xml:space="preserve">byloje </w:t>
      </w:r>
      <w:r w:rsidRPr="00965B36">
        <w:rPr>
          <w:rFonts w:ascii="Times New Roman,Italic" w:hAnsi="Times New Roman,Italic" w:cs="Times New Roman,Italic"/>
          <w:i/>
          <w:iCs/>
          <w:szCs w:val="24"/>
        </w:rPr>
        <w:t>Varnas prieš Lietuvą</w:t>
      </w:r>
      <w:r w:rsidRPr="00965B36">
        <w:rPr>
          <w:rFonts w:cs="Times New Roman"/>
          <w:szCs w:val="24"/>
        </w:rPr>
        <w:t>, kuriame pažeidimas nustatytas dėl suimtųjų asmenų teisės į ilgalaikius</w:t>
      </w:r>
      <w:r w:rsidR="004201F3" w:rsidRPr="00965B36">
        <w:rPr>
          <w:rFonts w:cs="Times New Roman"/>
          <w:szCs w:val="24"/>
        </w:rPr>
        <w:t xml:space="preserve"> </w:t>
      </w:r>
      <w:r w:rsidRPr="00965B36">
        <w:rPr>
          <w:rFonts w:cs="Times New Roman"/>
          <w:szCs w:val="24"/>
        </w:rPr>
        <w:t xml:space="preserve">pasimatymus apribojimo, juos diskriminuojant nuteistųjų asmenų atžvilgiu, </w:t>
      </w:r>
      <w:r w:rsidR="00BA1F10" w:rsidRPr="00965B36">
        <w:rPr>
          <w:rFonts w:cs="Times New Roman"/>
          <w:szCs w:val="24"/>
        </w:rPr>
        <w:t xml:space="preserve"> buvo </w:t>
      </w:r>
      <w:r w:rsidRPr="00965B36">
        <w:rPr>
          <w:rFonts w:cs="Times New Roman"/>
          <w:szCs w:val="24"/>
        </w:rPr>
        <w:t>būtina pašalinti</w:t>
      </w:r>
      <w:r w:rsidR="004201F3" w:rsidRPr="00965B36">
        <w:rPr>
          <w:rFonts w:cs="Times New Roman"/>
          <w:szCs w:val="24"/>
        </w:rPr>
        <w:t xml:space="preserve"> </w:t>
      </w:r>
      <w:r w:rsidRPr="00965B36">
        <w:rPr>
          <w:rFonts w:cs="Times New Roman"/>
          <w:szCs w:val="24"/>
        </w:rPr>
        <w:t>skirtingą teisės aktuose įtvirtintą teisės į ilgalaikius pasimatymus reguliavimą ir užtikrinti vienodą</w:t>
      </w:r>
      <w:r w:rsidR="004201F3" w:rsidRPr="00965B36">
        <w:rPr>
          <w:rFonts w:cs="Times New Roman"/>
          <w:szCs w:val="24"/>
        </w:rPr>
        <w:t xml:space="preserve"> </w:t>
      </w:r>
      <w:r w:rsidRPr="00965B36">
        <w:rPr>
          <w:rFonts w:cs="Times New Roman"/>
          <w:szCs w:val="24"/>
        </w:rPr>
        <w:t xml:space="preserve">teisę į ilgalaikius pasimatymus suimtiesiems ir nuteistiems asmenims. </w:t>
      </w:r>
      <w:r w:rsidR="00BA1F10" w:rsidRPr="00965B36">
        <w:rPr>
          <w:rFonts w:cs="Times New Roman"/>
          <w:szCs w:val="24"/>
        </w:rPr>
        <w:t xml:space="preserve"> </w:t>
      </w:r>
      <w:r w:rsidR="009648A7" w:rsidRPr="00965B36">
        <w:rPr>
          <w:rFonts w:cs="Times New Roman"/>
          <w:szCs w:val="24"/>
        </w:rPr>
        <w:t>Seimo nariai informavo, kad r</w:t>
      </w:r>
      <w:r w:rsidR="00BA1F10" w:rsidRPr="00965B36">
        <w:rPr>
          <w:rFonts w:cs="Times New Roman"/>
          <w:szCs w:val="24"/>
        </w:rPr>
        <w:t xml:space="preserve">eikalingi teisės aktų pakeitimai buvo priimti </w:t>
      </w:r>
      <w:r w:rsidR="009648A7" w:rsidRPr="00965B36">
        <w:rPr>
          <w:rFonts w:cs="Times New Roman"/>
          <w:szCs w:val="24"/>
        </w:rPr>
        <w:t>2015 m.</w:t>
      </w:r>
      <w:r w:rsidR="00BA1F10" w:rsidRPr="00965B36">
        <w:rPr>
          <w:rFonts w:cs="Times New Roman"/>
          <w:szCs w:val="24"/>
        </w:rPr>
        <w:t xml:space="preserve"> Seimo pavasario sesijoje.</w:t>
      </w:r>
    </w:p>
    <w:p w:rsidR="004201F3" w:rsidRPr="00965B36" w:rsidRDefault="009648A7" w:rsidP="009648A7">
      <w:pPr>
        <w:autoSpaceDE w:val="0"/>
        <w:autoSpaceDN w:val="0"/>
        <w:adjustRightInd w:val="0"/>
        <w:spacing w:line="240" w:lineRule="auto"/>
        <w:rPr>
          <w:rFonts w:cs="Times New Roman"/>
          <w:szCs w:val="24"/>
        </w:rPr>
      </w:pPr>
      <w:r w:rsidRPr="00965B36">
        <w:rPr>
          <w:rFonts w:cs="Times New Roman"/>
          <w:szCs w:val="24"/>
        </w:rPr>
        <w:t>Departamento a</w:t>
      </w:r>
      <w:r w:rsidR="00BA1F10" w:rsidRPr="00965B36">
        <w:rPr>
          <w:rFonts w:cs="Times New Roman"/>
          <w:szCs w:val="24"/>
        </w:rPr>
        <w:t xml:space="preserve">tstovai taip pat paminėjo bylą </w:t>
      </w:r>
      <w:r w:rsidR="00BA1F10" w:rsidRPr="00965B36">
        <w:rPr>
          <w:rFonts w:cs="Times New Roman"/>
          <w:bCs/>
          <w:i/>
          <w:szCs w:val="24"/>
        </w:rPr>
        <w:t>Sidabras ir Džiautas prieš Lietuvą.</w:t>
      </w:r>
      <w:r w:rsidR="00BA1F10" w:rsidRPr="00965B36">
        <w:rPr>
          <w:rFonts w:cs="Times New Roman"/>
          <w:b/>
          <w:bCs/>
          <w:szCs w:val="24"/>
        </w:rPr>
        <w:t xml:space="preserve">  </w:t>
      </w:r>
      <w:r w:rsidR="00BA1F10" w:rsidRPr="00965B36">
        <w:rPr>
          <w:rFonts w:cs="Times New Roman"/>
          <w:bCs/>
          <w:szCs w:val="24"/>
        </w:rPr>
        <w:t xml:space="preserve">Nepaisant to, kad Teismo </w:t>
      </w:r>
      <w:r w:rsidRPr="00965B36">
        <w:rPr>
          <w:rFonts w:cs="Times New Roman"/>
          <w:bCs/>
          <w:szCs w:val="24"/>
        </w:rPr>
        <w:t xml:space="preserve"> </w:t>
      </w:r>
      <w:r w:rsidR="00BA1F10" w:rsidRPr="00965B36">
        <w:rPr>
          <w:rFonts w:cs="Times New Roman"/>
          <w:szCs w:val="24"/>
        </w:rPr>
        <w:t>priteistas teisingas atlyginimas sumokėtas,   Lietuva nepakeitė įstatymo „Dėl SSRS valstybės saugumo komiteto (NKVD, NKGB, MGB, KGB) vertinimo ir šios organizacijos kadrinių darbuotojų dabartinės veiklos“</w:t>
      </w:r>
      <w:r w:rsidR="001F450E" w:rsidRPr="00965B36">
        <w:rPr>
          <w:rFonts w:cs="Times New Roman"/>
          <w:szCs w:val="24"/>
        </w:rPr>
        <w:t xml:space="preserve">  </w:t>
      </w:r>
      <w:r w:rsidR="00BA1F10" w:rsidRPr="00965B36">
        <w:rPr>
          <w:rFonts w:cs="Times New Roman"/>
          <w:szCs w:val="24"/>
        </w:rPr>
        <w:t>2 str. numatyto apribojimo buvusiems KGB kadriniams darbuotojams įsidarbinti privačiame sektoriuje, nors Teismas šį apribojimą buvo pripažinęs neproporcinga ir</w:t>
      </w:r>
      <w:r w:rsidR="001F450E" w:rsidRPr="00965B36">
        <w:rPr>
          <w:rFonts w:cs="Times New Roman"/>
          <w:szCs w:val="24"/>
        </w:rPr>
        <w:t xml:space="preserve"> </w:t>
      </w:r>
      <w:r w:rsidR="00BA1F10" w:rsidRPr="00965B36">
        <w:rPr>
          <w:rFonts w:cs="Times New Roman"/>
          <w:szCs w:val="24"/>
        </w:rPr>
        <w:t xml:space="preserve">diskriminacine priemone. 2009 m. sausio 1 d. baigėsi apribojimų galiojimo terminas. </w:t>
      </w:r>
      <w:r w:rsidR="001F450E" w:rsidRPr="00965B36">
        <w:rPr>
          <w:rFonts w:cs="Times New Roman"/>
          <w:szCs w:val="24"/>
        </w:rPr>
        <w:t xml:space="preserve"> </w:t>
      </w:r>
      <w:r w:rsidR="00BA1F10" w:rsidRPr="00965B36">
        <w:rPr>
          <w:rFonts w:cs="Times New Roman"/>
          <w:szCs w:val="24"/>
        </w:rPr>
        <w:t xml:space="preserve">Tačiau </w:t>
      </w:r>
      <w:r w:rsidR="001F450E" w:rsidRPr="00965B36">
        <w:rPr>
          <w:rFonts w:cs="Times New Roman"/>
          <w:szCs w:val="24"/>
        </w:rPr>
        <w:t xml:space="preserve"> </w:t>
      </w:r>
      <w:r w:rsidR="00BA1F10" w:rsidRPr="00965B36">
        <w:rPr>
          <w:rFonts w:cs="Times New Roman"/>
          <w:szCs w:val="24"/>
        </w:rPr>
        <w:t>2015 metais</w:t>
      </w:r>
      <w:r w:rsidR="001F450E" w:rsidRPr="00965B36">
        <w:rPr>
          <w:rFonts w:cs="Times New Roman"/>
          <w:szCs w:val="24"/>
        </w:rPr>
        <w:t xml:space="preserve"> Lietuvos atžvilgiu pirmą kartą konstatuotas pakartotinis Konvencijos pažeidimas, tiesiogiai susijęs su Lietuvos įstatymų leidėjo delsimu priimti reikiamas įstatymų pataisas dėl buvusiems KGB kadriniams darbuotojams taikyto įstatyminio ribojimo įsidarbinti privačiame sektoriuje, nevykdant anksčiau priimto 2005 m. balandžio 7 d. Teismo sprendimo byloje Rainys ir Gasparavičius prieš Lietuvą (peticijų Nr. 70665/01 ir 74345/01), kuriuo jau buvo nustatytas Konvencijos 14 straipsnio, taikant kartu su 8 straipsniu, pažeidimas.</w:t>
      </w:r>
    </w:p>
    <w:p w:rsidR="00737BDD" w:rsidRPr="00965B36" w:rsidRDefault="00737BDD" w:rsidP="00737BDD">
      <w:pPr>
        <w:autoSpaceDE w:val="0"/>
        <w:autoSpaceDN w:val="0"/>
        <w:adjustRightInd w:val="0"/>
        <w:spacing w:line="240" w:lineRule="auto"/>
        <w:rPr>
          <w:rFonts w:cs="Times New Roman"/>
          <w:szCs w:val="24"/>
        </w:rPr>
      </w:pPr>
      <w:r w:rsidRPr="00965B36">
        <w:rPr>
          <w:rFonts w:cs="Times New Roman"/>
          <w:szCs w:val="24"/>
        </w:rPr>
        <w:t xml:space="preserve">Užsitęsus būtinų teisinio reguliavimo pataisų priėmimui Teismo sprendimai bylose  </w:t>
      </w:r>
      <w:r w:rsidRPr="00965B36">
        <w:rPr>
          <w:rFonts w:cs="Times New Roman"/>
          <w:i/>
          <w:iCs/>
          <w:szCs w:val="24"/>
        </w:rPr>
        <w:t xml:space="preserve">L. prieš Lietuvą </w:t>
      </w:r>
      <w:r w:rsidRPr="00965B36">
        <w:rPr>
          <w:rFonts w:cs="Times New Roman"/>
          <w:szCs w:val="24"/>
        </w:rPr>
        <w:t xml:space="preserve">ir </w:t>
      </w:r>
      <w:r w:rsidRPr="00965B36">
        <w:rPr>
          <w:rFonts w:cs="Times New Roman"/>
          <w:i/>
          <w:iCs/>
          <w:szCs w:val="24"/>
        </w:rPr>
        <w:t xml:space="preserve">Paksas prieš Lietuvą </w:t>
      </w:r>
      <w:r w:rsidRPr="00965B36">
        <w:rPr>
          <w:rFonts w:cs="Times New Roman"/>
          <w:szCs w:val="24"/>
        </w:rPr>
        <w:t xml:space="preserve">jau yra perduoti sustiprintai vykdymo priežiūrai. Tokia procedūra prieš Lietuvą yra taikoma pirmą kartą. </w:t>
      </w:r>
    </w:p>
    <w:p w:rsidR="00737BDD" w:rsidRPr="00965B36" w:rsidRDefault="00737BDD" w:rsidP="00737BDD">
      <w:pPr>
        <w:autoSpaceDE w:val="0"/>
        <w:autoSpaceDN w:val="0"/>
        <w:adjustRightInd w:val="0"/>
        <w:spacing w:line="240" w:lineRule="auto"/>
        <w:rPr>
          <w:rFonts w:eastAsia="Times New Roman" w:cs="Times New Roman"/>
          <w:szCs w:val="24"/>
          <w:lang w:eastAsia="lt-LT"/>
        </w:rPr>
      </w:pPr>
      <w:r w:rsidRPr="00965B36">
        <w:rPr>
          <w:rFonts w:cs="Times New Roman"/>
          <w:szCs w:val="24"/>
        </w:rPr>
        <w:t xml:space="preserve">Siekiant įvykdyti sprendimą byloje </w:t>
      </w:r>
      <w:r w:rsidRPr="00965B36">
        <w:rPr>
          <w:rFonts w:cs="Times New Roman"/>
          <w:i/>
          <w:szCs w:val="24"/>
        </w:rPr>
        <w:t>L. prieš Lietuvą</w:t>
      </w:r>
      <w:r w:rsidRPr="00965B36">
        <w:rPr>
          <w:rFonts w:cs="Times New Roman"/>
          <w:szCs w:val="24"/>
        </w:rPr>
        <w:t xml:space="preserve"> Departamento atstovai paragino Lietuvą kuo greičiau priimti </w:t>
      </w:r>
      <w:r w:rsidRPr="00965B36">
        <w:rPr>
          <w:rFonts w:eastAsia="Times New Roman" w:cs="Times New Roman"/>
          <w:szCs w:val="24"/>
          <w:lang w:eastAsia="lt-LT"/>
        </w:rPr>
        <w:t>būtinus teisės aktų pakeitimus konstatuotos teisės spragos pašalinimui ir  numatyti priemones, kuriomis būtų užtikrintas gydymo teikimas asmenims, turintiems lyties tapatumo sutrikimų.</w:t>
      </w:r>
    </w:p>
    <w:p w:rsidR="00737BDD" w:rsidRDefault="00737BDD" w:rsidP="00737BDD">
      <w:pPr>
        <w:autoSpaceDE w:val="0"/>
        <w:autoSpaceDN w:val="0"/>
        <w:adjustRightInd w:val="0"/>
        <w:spacing w:line="240" w:lineRule="auto"/>
        <w:jc w:val="left"/>
        <w:rPr>
          <w:rFonts w:cs="Times New Roman"/>
          <w:szCs w:val="24"/>
        </w:rPr>
      </w:pPr>
      <w:r w:rsidRPr="00965B36">
        <w:rPr>
          <w:rFonts w:cs="Times New Roman"/>
          <w:szCs w:val="24"/>
        </w:rPr>
        <w:t xml:space="preserve">Siekiant įvykdyti sprendimą byloje </w:t>
      </w:r>
      <w:r w:rsidRPr="00965B36">
        <w:rPr>
          <w:rFonts w:cs="Times New Roman"/>
          <w:i/>
          <w:szCs w:val="24"/>
        </w:rPr>
        <w:t xml:space="preserve">Paksas prieš Lietuvą </w:t>
      </w:r>
      <w:r w:rsidRPr="00965B36">
        <w:rPr>
          <w:rFonts w:cs="Times New Roman"/>
          <w:szCs w:val="24"/>
        </w:rPr>
        <w:t xml:space="preserve">Departamento atstovai  teigimai įvertino faktą, kad  pirmajame </w:t>
      </w:r>
      <w:r w:rsidR="009648A7" w:rsidRPr="00965B36">
        <w:rPr>
          <w:rFonts w:cs="Times New Roman"/>
          <w:szCs w:val="24"/>
        </w:rPr>
        <w:t xml:space="preserve">2015 </w:t>
      </w:r>
      <w:r w:rsidR="00965B36" w:rsidRPr="00965B36">
        <w:rPr>
          <w:rFonts w:cs="Times New Roman"/>
          <w:szCs w:val="24"/>
        </w:rPr>
        <w:t>m. Seimo</w:t>
      </w:r>
      <w:r w:rsidR="009648A7" w:rsidRPr="00965B36">
        <w:rPr>
          <w:rFonts w:cs="Times New Roman"/>
          <w:szCs w:val="24"/>
        </w:rPr>
        <w:t xml:space="preserve"> </w:t>
      </w:r>
      <w:r w:rsidRPr="00965B36">
        <w:rPr>
          <w:rFonts w:cs="Times New Roman"/>
          <w:szCs w:val="24"/>
        </w:rPr>
        <w:t xml:space="preserve">rudens sesijos posėdyje Seimas svarstė ir pritarė Konstitucijos  pakeitimo įstatymo projektui Nr. XIIP-2841 ir paragino sėkmingai užbaigti Konstitucijos keitimo procedūrą dar 2015 m. Seimo rudens sesijoje. </w:t>
      </w:r>
    </w:p>
    <w:p w:rsidR="00B32EE3" w:rsidRPr="00965B36" w:rsidRDefault="00B32EE3" w:rsidP="00737BDD">
      <w:pPr>
        <w:autoSpaceDE w:val="0"/>
        <w:autoSpaceDN w:val="0"/>
        <w:adjustRightInd w:val="0"/>
        <w:spacing w:line="240" w:lineRule="auto"/>
        <w:jc w:val="left"/>
        <w:rPr>
          <w:rFonts w:cs="Times New Roman"/>
          <w:szCs w:val="24"/>
        </w:rPr>
      </w:pPr>
    </w:p>
    <w:p w:rsidR="00D34829" w:rsidRDefault="00B32EE3" w:rsidP="00B32EE3">
      <w:pPr>
        <w:autoSpaceDE w:val="0"/>
        <w:autoSpaceDN w:val="0"/>
        <w:adjustRightInd w:val="0"/>
        <w:spacing w:line="240" w:lineRule="auto"/>
        <w:jc w:val="center"/>
        <w:rPr>
          <w:rFonts w:ascii="Times New Roman,Bold" w:hAnsi="Times New Roman,Bold" w:cs="Times New Roman,Bold"/>
          <w:bCs/>
          <w:i/>
          <w:szCs w:val="24"/>
        </w:rPr>
      </w:pPr>
      <w:r w:rsidRPr="00B32EE3">
        <w:rPr>
          <w:rFonts w:ascii="Times New Roman,Bold" w:hAnsi="Times New Roman,Bold" w:cs="Times New Roman,Bold"/>
          <w:bCs/>
          <w:i/>
          <w:szCs w:val="24"/>
        </w:rPr>
        <w:t xml:space="preserve">Europos Žmogaus Teisių Teisme svarstomos bylos  </w:t>
      </w:r>
      <w:proofErr w:type="spellStart"/>
      <w:r w:rsidRPr="00B32EE3">
        <w:rPr>
          <w:rFonts w:ascii="Times New Roman,Bold" w:hAnsi="Times New Roman,Bold" w:cs="Times New Roman,Bold"/>
          <w:bCs/>
          <w:i/>
          <w:szCs w:val="24"/>
        </w:rPr>
        <w:t>Hutchinson</w:t>
      </w:r>
      <w:proofErr w:type="spellEnd"/>
      <w:r w:rsidRPr="00B32EE3">
        <w:rPr>
          <w:rFonts w:ascii="Times New Roman,Bold" w:hAnsi="Times New Roman,Bold" w:cs="Times New Roman,Bold"/>
          <w:bCs/>
          <w:i/>
          <w:szCs w:val="24"/>
        </w:rPr>
        <w:t xml:space="preserve"> v. </w:t>
      </w:r>
      <w:proofErr w:type="spellStart"/>
      <w:r w:rsidRPr="00B32EE3">
        <w:rPr>
          <w:rFonts w:ascii="Times New Roman,Bold" w:hAnsi="Times New Roman,Bold" w:cs="Times New Roman,Bold"/>
          <w:bCs/>
          <w:i/>
          <w:szCs w:val="24"/>
        </w:rPr>
        <w:t>the</w:t>
      </w:r>
      <w:proofErr w:type="spellEnd"/>
      <w:r w:rsidRPr="00B32EE3">
        <w:rPr>
          <w:rFonts w:ascii="Times New Roman,Bold" w:hAnsi="Times New Roman,Bold" w:cs="Times New Roman,Bold"/>
          <w:bCs/>
          <w:i/>
          <w:szCs w:val="24"/>
        </w:rPr>
        <w:t xml:space="preserve"> </w:t>
      </w:r>
      <w:proofErr w:type="spellStart"/>
      <w:r w:rsidRPr="00B32EE3">
        <w:rPr>
          <w:rFonts w:ascii="Times New Roman,Bold" w:hAnsi="Times New Roman,Bold" w:cs="Times New Roman,Bold"/>
          <w:bCs/>
          <w:i/>
          <w:szCs w:val="24"/>
        </w:rPr>
        <w:t>United</w:t>
      </w:r>
      <w:proofErr w:type="spellEnd"/>
      <w:r w:rsidRPr="00B32EE3">
        <w:rPr>
          <w:rFonts w:ascii="Times New Roman,Bold" w:hAnsi="Times New Roman,Bold" w:cs="Times New Roman,Bold"/>
          <w:bCs/>
          <w:i/>
          <w:szCs w:val="24"/>
        </w:rPr>
        <w:t xml:space="preserve"> </w:t>
      </w:r>
      <w:proofErr w:type="spellStart"/>
      <w:r w:rsidRPr="00B32EE3">
        <w:rPr>
          <w:rFonts w:ascii="Times New Roman,Bold" w:hAnsi="Times New Roman,Bold" w:cs="Times New Roman,Bold"/>
          <w:bCs/>
          <w:i/>
          <w:szCs w:val="24"/>
        </w:rPr>
        <w:t>Kingdom</w:t>
      </w:r>
      <w:proofErr w:type="spellEnd"/>
      <w:r w:rsidRPr="00B32EE3">
        <w:rPr>
          <w:rFonts w:ascii="Times New Roman,Bold" w:hAnsi="Times New Roman,Bold" w:cs="Times New Roman,Bold"/>
          <w:bCs/>
          <w:i/>
          <w:szCs w:val="24"/>
        </w:rPr>
        <w:t xml:space="preserve"> (</w:t>
      </w:r>
      <w:proofErr w:type="spellStart"/>
      <w:r w:rsidRPr="00B32EE3">
        <w:rPr>
          <w:rFonts w:ascii="Times New Roman,Bold" w:hAnsi="Times New Roman,Bold" w:cs="Times New Roman,Bold"/>
          <w:bCs/>
          <w:i/>
          <w:szCs w:val="24"/>
        </w:rPr>
        <w:t>no</w:t>
      </w:r>
      <w:proofErr w:type="spellEnd"/>
      <w:r w:rsidRPr="00B32EE3">
        <w:rPr>
          <w:rFonts w:ascii="Times New Roman,Bold" w:hAnsi="Times New Roman,Bold" w:cs="Times New Roman,Bold"/>
          <w:bCs/>
          <w:i/>
          <w:szCs w:val="24"/>
        </w:rPr>
        <w:t>. 57592/08) stebėjimas</w:t>
      </w:r>
    </w:p>
    <w:p w:rsidR="00B32EE3" w:rsidRPr="00B32EE3" w:rsidRDefault="00B32EE3" w:rsidP="00B32EE3">
      <w:pPr>
        <w:autoSpaceDE w:val="0"/>
        <w:autoSpaceDN w:val="0"/>
        <w:adjustRightInd w:val="0"/>
        <w:spacing w:line="240" w:lineRule="auto"/>
        <w:jc w:val="center"/>
        <w:rPr>
          <w:rFonts w:ascii="Times New Roman,Bold" w:hAnsi="Times New Roman,Bold" w:cs="Times New Roman,Bold"/>
          <w:bCs/>
          <w:i/>
          <w:szCs w:val="24"/>
        </w:rPr>
      </w:pPr>
    </w:p>
    <w:p w:rsidR="002151E9" w:rsidRPr="00965B36" w:rsidRDefault="00835A08" w:rsidP="005D547A">
      <w:pPr>
        <w:spacing w:line="240" w:lineRule="auto"/>
        <w:rPr>
          <w:rFonts w:eastAsia="Times New Roman" w:cs="Times New Roman"/>
          <w:szCs w:val="24"/>
          <w:lang w:eastAsia="lt-LT"/>
        </w:rPr>
      </w:pPr>
      <w:r w:rsidRPr="00965B36">
        <w:rPr>
          <w:rFonts w:eastAsia="Times New Roman" w:cs="Times New Roman"/>
          <w:szCs w:val="24"/>
          <w:lang w:eastAsia="lt-LT"/>
        </w:rPr>
        <w:t xml:space="preserve">Seimo </w:t>
      </w:r>
      <w:r w:rsidR="009648A7" w:rsidRPr="00965B36">
        <w:rPr>
          <w:rFonts w:eastAsia="Times New Roman" w:cs="Times New Roman"/>
          <w:szCs w:val="24"/>
          <w:lang w:eastAsia="lt-LT"/>
        </w:rPr>
        <w:t>ž</w:t>
      </w:r>
      <w:r w:rsidR="00737BDD" w:rsidRPr="00965B36">
        <w:rPr>
          <w:rFonts w:eastAsia="Times New Roman" w:cs="Times New Roman"/>
          <w:szCs w:val="24"/>
          <w:lang w:eastAsia="lt-LT"/>
        </w:rPr>
        <w:t xml:space="preserve">mogaus teisių komiteto </w:t>
      </w:r>
      <w:r w:rsidRPr="00965B36">
        <w:rPr>
          <w:rFonts w:eastAsia="Times New Roman" w:cs="Times New Roman"/>
          <w:szCs w:val="24"/>
          <w:lang w:eastAsia="lt-LT"/>
        </w:rPr>
        <w:t xml:space="preserve">delegacija vizito metu stebėjo viešą Didžiosios </w:t>
      </w:r>
      <w:r w:rsidR="009648A7" w:rsidRPr="00965B36">
        <w:rPr>
          <w:rFonts w:eastAsia="Times New Roman" w:cs="Times New Roman"/>
          <w:szCs w:val="24"/>
          <w:lang w:eastAsia="lt-LT"/>
        </w:rPr>
        <w:t>K</w:t>
      </w:r>
      <w:r w:rsidRPr="00965B36">
        <w:rPr>
          <w:rFonts w:eastAsia="Times New Roman" w:cs="Times New Roman"/>
          <w:szCs w:val="24"/>
          <w:lang w:eastAsia="lt-LT"/>
        </w:rPr>
        <w:t xml:space="preserve">olegijos posėdį, kurio metu buvo </w:t>
      </w:r>
      <w:r w:rsidR="00965B36" w:rsidRPr="00965B36">
        <w:rPr>
          <w:rFonts w:eastAsia="Times New Roman" w:cs="Times New Roman"/>
          <w:szCs w:val="24"/>
          <w:lang w:eastAsia="lt-LT"/>
        </w:rPr>
        <w:t>svarstoma</w:t>
      </w:r>
      <w:r w:rsidRPr="00965B36">
        <w:rPr>
          <w:rFonts w:eastAsia="Times New Roman" w:cs="Times New Roman"/>
          <w:szCs w:val="24"/>
          <w:lang w:eastAsia="lt-LT"/>
        </w:rPr>
        <w:t xml:space="preserve"> byla </w:t>
      </w:r>
      <w:r w:rsidRPr="00965B36">
        <w:rPr>
          <w:rFonts w:eastAsia="Times New Roman" w:cs="Times New Roman"/>
          <w:i/>
          <w:szCs w:val="24"/>
          <w:lang w:eastAsia="lt-LT"/>
        </w:rPr>
        <w:t>Hutchinson v. Didžioji Britanija</w:t>
      </w:r>
      <w:r w:rsidRPr="00965B36">
        <w:rPr>
          <w:rFonts w:eastAsia="Times New Roman" w:cs="Times New Roman"/>
          <w:szCs w:val="24"/>
          <w:lang w:eastAsia="lt-LT"/>
        </w:rPr>
        <w:t xml:space="preserve"> (Nr. 57592/08). Byla buvo </w:t>
      </w:r>
      <w:r w:rsidRPr="00965B36">
        <w:rPr>
          <w:rFonts w:eastAsia="Times New Roman" w:cs="Times New Roman"/>
          <w:szCs w:val="24"/>
          <w:lang w:eastAsia="lt-LT"/>
        </w:rPr>
        <w:lastRenderedPageBreak/>
        <w:t xml:space="preserve">susijusi su skundu, kurią pateikė asmuo, nuteistas kalėti iki gyvos galvos. Skunde asmuo teigė, kad tokia bausmė </w:t>
      </w:r>
      <w:r w:rsidR="009648A7" w:rsidRPr="00965B36">
        <w:rPr>
          <w:rFonts w:eastAsia="Times New Roman" w:cs="Times New Roman"/>
          <w:szCs w:val="24"/>
          <w:lang w:eastAsia="lt-LT"/>
        </w:rPr>
        <w:t>gali būti laikoma nežmonišku</w:t>
      </w:r>
      <w:r w:rsidR="00527FD3" w:rsidRPr="00965B36">
        <w:rPr>
          <w:rFonts w:eastAsia="Times New Roman" w:cs="Times New Roman"/>
          <w:szCs w:val="24"/>
          <w:lang w:eastAsia="lt-LT"/>
        </w:rPr>
        <w:t xml:space="preserve"> ir </w:t>
      </w:r>
      <w:r w:rsidR="009648A7" w:rsidRPr="00965B36">
        <w:rPr>
          <w:rFonts w:eastAsia="Times New Roman" w:cs="Times New Roman"/>
          <w:szCs w:val="24"/>
          <w:lang w:eastAsia="lt-LT"/>
        </w:rPr>
        <w:t>žeminančiu elgesiu</w:t>
      </w:r>
      <w:r w:rsidR="00527FD3" w:rsidRPr="00965B36">
        <w:rPr>
          <w:rFonts w:eastAsia="Times New Roman" w:cs="Times New Roman"/>
          <w:szCs w:val="24"/>
          <w:lang w:eastAsia="lt-LT"/>
        </w:rPr>
        <w:t>, kadangi asmeniui nesuteikiama teisė būti paleistam, nėra šios bausmės sušvelninimo galimybių, todėl galimas Konvencijos 3 straipsnio pažeidimas.</w:t>
      </w:r>
    </w:p>
    <w:p w:rsidR="00527FD3" w:rsidRPr="00965B36" w:rsidRDefault="00527FD3" w:rsidP="005D547A">
      <w:pPr>
        <w:spacing w:line="240" w:lineRule="auto"/>
        <w:rPr>
          <w:rFonts w:eastAsia="Times New Roman" w:cs="Times New Roman"/>
          <w:szCs w:val="24"/>
          <w:lang w:eastAsia="lt-LT"/>
        </w:rPr>
      </w:pPr>
      <w:r w:rsidRPr="00965B36">
        <w:rPr>
          <w:rFonts w:eastAsia="Times New Roman" w:cs="Times New Roman"/>
          <w:szCs w:val="24"/>
          <w:lang w:eastAsia="lt-LT"/>
        </w:rPr>
        <w:t>Pagal Teismo praktiką laisvės atėmimo iki gyvos galvos bausmė gali būti laikoma nesuderinama su Konvencijos 3 straipsniu tuo atveju, jei valstybėje nėra numatyta jokio mechanizmo laisvės atėmimo iki gyvos galvos bausmės peržiūrėjimui, taip atimant iš šia bausme nuteistų asmenų bet kokią viltį, kad jiems paskirta bausmė kada nors bus sušvelninta.</w:t>
      </w:r>
    </w:p>
    <w:p w:rsidR="00527FD3" w:rsidRPr="00965B36" w:rsidRDefault="00527FD3" w:rsidP="005D547A">
      <w:pPr>
        <w:spacing w:line="240" w:lineRule="auto"/>
        <w:rPr>
          <w:rFonts w:eastAsia="Times New Roman" w:cs="Times New Roman"/>
          <w:szCs w:val="24"/>
          <w:lang w:eastAsia="lt-LT"/>
        </w:rPr>
      </w:pPr>
      <w:r w:rsidRPr="00965B36">
        <w:rPr>
          <w:rFonts w:eastAsia="Times New Roman" w:cs="Times New Roman"/>
          <w:szCs w:val="24"/>
          <w:lang w:eastAsia="lt-LT"/>
        </w:rPr>
        <w:t>Jungtinės Karalystės atstovai teigė, kad paga</w:t>
      </w:r>
      <w:r w:rsidR="005D547A" w:rsidRPr="00965B36">
        <w:rPr>
          <w:rFonts w:eastAsia="Times New Roman" w:cs="Times New Roman"/>
          <w:szCs w:val="24"/>
          <w:lang w:eastAsia="lt-LT"/>
        </w:rPr>
        <w:t>l</w:t>
      </w:r>
      <w:r w:rsidRPr="00965B36">
        <w:rPr>
          <w:rFonts w:eastAsia="Times New Roman" w:cs="Times New Roman"/>
          <w:szCs w:val="24"/>
          <w:lang w:eastAsia="lt-LT"/>
        </w:rPr>
        <w:t xml:space="preserve"> nacionalinę teisę  yra galimas tokių bausmių peržiūrėjimas, todėl mano, kad Konvencijos 3 straipsnis nėra pažeistas. </w:t>
      </w:r>
    </w:p>
    <w:p w:rsidR="00527FD3" w:rsidRPr="00965B36" w:rsidRDefault="00527FD3" w:rsidP="00527FD3">
      <w:pPr>
        <w:spacing w:before="100" w:beforeAutospacing="1" w:after="100" w:afterAutospacing="1" w:line="240" w:lineRule="auto"/>
        <w:ind w:firstLine="0"/>
        <w:rPr>
          <w:rFonts w:eastAsia="Times New Roman" w:cs="Times New Roman"/>
          <w:szCs w:val="24"/>
          <w:lang w:eastAsia="lt-LT"/>
        </w:rPr>
      </w:pPr>
    </w:p>
    <w:p w:rsidR="00527FD3" w:rsidRPr="00965B36" w:rsidRDefault="00527FD3" w:rsidP="00527FD3">
      <w:pPr>
        <w:spacing w:before="100" w:beforeAutospacing="1" w:after="100" w:afterAutospacing="1" w:line="240" w:lineRule="auto"/>
        <w:ind w:firstLine="0"/>
        <w:rPr>
          <w:rFonts w:eastAsia="Times New Roman" w:cs="Times New Roman"/>
          <w:szCs w:val="24"/>
          <w:lang w:eastAsia="lt-LT"/>
        </w:rPr>
      </w:pPr>
      <w:r w:rsidRPr="00965B36">
        <w:rPr>
          <w:rFonts w:eastAsia="Times New Roman" w:cs="Times New Roman"/>
          <w:szCs w:val="24"/>
          <w:lang w:eastAsia="lt-LT"/>
        </w:rPr>
        <w:t>PRIDEDAMA.</w:t>
      </w:r>
    </w:p>
    <w:p w:rsidR="00527FD3" w:rsidRPr="00965B36" w:rsidRDefault="00527FD3" w:rsidP="00527FD3">
      <w:pPr>
        <w:pStyle w:val="Sraopastraipa"/>
        <w:numPr>
          <w:ilvl w:val="0"/>
          <w:numId w:val="1"/>
        </w:numPr>
        <w:spacing w:before="100" w:beforeAutospacing="1" w:after="100" w:afterAutospacing="1" w:line="240" w:lineRule="auto"/>
        <w:rPr>
          <w:rFonts w:eastAsia="Times New Roman" w:cs="Times New Roman"/>
          <w:szCs w:val="24"/>
          <w:lang w:eastAsia="lt-LT"/>
        </w:rPr>
      </w:pPr>
      <w:r w:rsidRPr="00965B36">
        <w:rPr>
          <w:rFonts w:eastAsia="Times New Roman" w:cs="Times New Roman"/>
          <w:szCs w:val="24"/>
          <w:lang w:eastAsia="lt-LT"/>
        </w:rPr>
        <w:t>Pareiškimo kelio schema, 1 lapas.</w:t>
      </w:r>
    </w:p>
    <w:p w:rsidR="00527FD3" w:rsidRPr="00965B36" w:rsidRDefault="00633F2E" w:rsidP="00527FD3">
      <w:pPr>
        <w:pStyle w:val="Sraopastraipa"/>
        <w:numPr>
          <w:ilvl w:val="0"/>
          <w:numId w:val="1"/>
        </w:numPr>
        <w:spacing w:before="100" w:beforeAutospacing="1" w:after="100" w:afterAutospacing="1" w:line="240" w:lineRule="auto"/>
        <w:rPr>
          <w:rFonts w:eastAsia="Times New Roman" w:cs="Times New Roman"/>
          <w:szCs w:val="24"/>
          <w:lang w:eastAsia="lt-LT"/>
        </w:rPr>
      </w:pPr>
      <w:r w:rsidRPr="00965B36">
        <w:rPr>
          <w:rFonts w:eastAsia="Times New Roman" w:cs="Times New Roman"/>
          <w:szCs w:val="24"/>
          <w:lang w:eastAsia="lt-LT"/>
        </w:rPr>
        <w:t xml:space="preserve">Supaprastinta bylų </w:t>
      </w:r>
      <w:r w:rsidR="00965B36" w:rsidRPr="00965B36">
        <w:rPr>
          <w:rFonts w:eastAsia="Times New Roman" w:cs="Times New Roman"/>
          <w:szCs w:val="24"/>
          <w:lang w:eastAsia="lt-LT"/>
        </w:rPr>
        <w:t>nagrinėjimo</w:t>
      </w:r>
      <w:r w:rsidRPr="00965B36">
        <w:rPr>
          <w:rFonts w:eastAsia="Times New Roman" w:cs="Times New Roman"/>
          <w:szCs w:val="24"/>
          <w:lang w:eastAsia="lt-LT"/>
        </w:rPr>
        <w:t xml:space="preserve"> Tesime schema pagal Teismo sudėtį, 1 lapas.</w:t>
      </w:r>
    </w:p>
    <w:p w:rsidR="00633F2E" w:rsidRPr="00965B36" w:rsidRDefault="00633F2E" w:rsidP="00527FD3">
      <w:pPr>
        <w:pStyle w:val="Sraopastraipa"/>
        <w:numPr>
          <w:ilvl w:val="0"/>
          <w:numId w:val="1"/>
        </w:numPr>
        <w:spacing w:before="100" w:beforeAutospacing="1" w:after="100" w:afterAutospacing="1" w:line="240" w:lineRule="auto"/>
        <w:rPr>
          <w:rFonts w:eastAsia="Times New Roman" w:cs="Times New Roman"/>
          <w:szCs w:val="24"/>
          <w:lang w:eastAsia="lt-LT"/>
        </w:rPr>
      </w:pPr>
      <w:r w:rsidRPr="00965B36">
        <w:rPr>
          <w:rFonts w:eastAsia="Times New Roman" w:cs="Times New Roman"/>
          <w:szCs w:val="24"/>
          <w:lang w:eastAsia="lt-LT"/>
        </w:rPr>
        <w:t>EŽTT darbo krūvis pagal proceso stadiją ir Teismo sudėtį, 1 lapas.</w:t>
      </w:r>
    </w:p>
    <w:p w:rsidR="00633F2E" w:rsidRPr="00965B36" w:rsidRDefault="00633F2E" w:rsidP="00633F2E">
      <w:pPr>
        <w:pStyle w:val="Sraopastraipa"/>
        <w:numPr>
          <w:ilvl w:val="0"/>
          <w:numId w:val="1"/>
        </w:numPr>
        <w:spacing w:before="100" w:beforeAutospacing="1" w:after="100" w:afterAutospacing="1" w:line="240" w:lineRule="auto"/>
        <w:rPr>
          <w:rFonts w:eastAsia="Times New Roman" w:cs="Times New Roman"/>
          <w:szCs w:val="24"/>
          <w:lang w:eastAsia="lt-LT"/>
        </w:rPr>
      </w:pPr>
      <w:r w:rsidRPr="00965B36">
        <w:rPr>
          <w:rFonts w:eastAsia="Times New Roman" w:cs="Times New Roman"/>
          <w:szCs w:val="24"/>
          <w:lang w:eastAsia="lt-LT"/>
        </w:rPr>
        <w:t>EŽTT darbo krūvis pagal proceso stadiją ir Teismo sudėtį bei pagrindiniai peticijų nagrinėjimo procesiniai veiksmai (Lietuvos atvej</w:t>
      </w:r>
      <w:r w:rsidR="005D547A" w:rsidRPr="00965B36">
        <w:rPr>
          <w:rFonts w:eastAsia="Times New Roman" w:cs="Times New Roman"/>
          <w:szCs w:val="24"/>
          <w:lang w:eastAsia="lt-LT"/>
        </w:rPr>
        <w:t>is</w:t>
      </w:r>
      <w:r w:rsidRPr="00965B36">
        <w:rPr>
          <w:rFonts w:eastAsia="Times New Roman" w:cs="Times New Roman"/>
          <w:szCs w:val="24"/>
          <w:lang w:eastAsia="lt-LT"/>
        </w:rPr>
        <w:t>) 1 lapas.</w:t>
      </w:r>
    </w:p>
    <w:p w:rsidR="00633F2E" w:rsidRDefault="00633F2E" w:rsidP="00633F2E">
      <w:pPr>
        <w:spacing w:before="100" w:beforeAutospacing="1" w:after="100" w:afterAutospacing="1" w:line="240" w:lineRule="auto"/>
        <w:ind w:firstLine="0"/>
        <w:rPr>
          <w:rFonts w:eastAsia="Times New Roman" w:cs="Times New Roman"/>
          <w:szCs w:val="24"/>
          <w:lang w:eastAsia="lt-LT"/>
        </w:rPr>
      </w:pPr>
    </w:p>
    <w:p w:rsidR="00340970" w:rsidRDefault="00340970" w:rsidP="00633F2E">
      <w:pPr>
        <w:spacing w:before="100" w:beforeAutospacing="1" w:after="100" w:afterAutospacing="1" w:line="240" w:lineRule="auto"/>
        <w:ind w:firstLine="0"/>
        <w:rPr>
          <w:rFonts w:eastAsia="Times New Roman" w:cs="Times New Roman"/>
          <w:szCs w:val="24"/>
          <w:lang w:eastAsia="lt-LT"/>
        </w:rPr>
      </w:pPr>
    </w:p>
    <w:p w:rsidR="00340970" w:rsidRPr="00965B36" w:rsidRDefault="00340970" w:rsidP="00633F2E">
      <w:pPr>
        <w:spacing w:before="100" w:beforeAutospacing="1" w:after="100" w:afterAutospacing="1" w:line="240" w:lineRule="auto"/>
        <w:ind w:firstLine="0"/>
        <w:rPr>
          <w:rFonts w:eastAsia="Times New Roman" w:cs="Times New Roman"/>
          <w:szCs w:val="24"/>
          <w:lang w:eastAsia="lt-LT"/>
        </w:rPr>
      </w:pPr>
    </w:p>
    <w:p w:rsidR="00633F2E" w:rsidRPr="00965B36" w:rsidRDefault="00340970" w:rsidP="00633F2E">
      <w:pPr>
        <w:spacing w:before="100" w:beforeAutospacing="1" w:after="100" w:afterAutospacing="1" w:line="240" w:lineRule="auto"/>
        <w:ind w:firstLine="0"/>
        <w:rPr>
          <w:rFonts w:eastAsia="Times New Roman" w:cs="Times New Roman"/>
          <w:szCs w:val="24"/>
          <w:lang w:eastAsia="lt-LT"/>
        </w:rPr>
      </w:pPr>
      <w:r>
        <w:rPr>
          <w:rFonts w:eastAsia="Times New Roman" w:cs="Times New Roman"/>
          <w:szCs w:val="24"/>
          <w:lang w:eastAsia="lt-LT"/>
        </w:rPr>
        <w:t xml:space="preserve">Rūta </w:t>
      </w:r>
      <w:proofErr w:type="spellStart"/>
      <w:r>
        <w:rPr>
          <w:rFonts w:eastAsia="Times New Roman" w:cs="Times New Roman"/>
          <w:szCs w:val="24"/>
          <w:lang w:eastAsia="lt-LT"/>
        </w:rPr>
        <w:t>Ragaliauskienė</w:t>
      </w:r>
      <w:proofErr w:type="spellEnd"/>
    </w:p>
    <w:sectPr w:rsidR="00633F2E" w:rsidRPr="00965B36" w:rsidSect="00236D6B">
      <w:headerReference w:type="default" r:id="rId8"/>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6CC2" w:rsidRDefault="00C86CC2" w:rsidP="00236D6B">
      <w:pPr>
        <w:spacing w:line="240" w:lineRule="auto"/>
      </w:pPr>
      <w:r>
        <w:separator/>
      </w:r>
    </w:p>
  </w:endnote>
  <w:endnote w:type="continuationSeparator" w:id="0">
    <w:p w:rsidR="00C86CC2" w:rsidRDefault="00C86CC2" w:rsidP="00236D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3" w:usb1="10000000" w:usb2="00000000" w:usb3="00000000" w:csb0="80000001" w:csb1="00000000"/>
  </w:font>
  <w:font w:name="Times New Roman">
    <w:panose1 w:val="02020603050405020304"/>
    <w:charset w:val="BA"/>
    <w:family w:val="roman"/>
    <w:pitch w:val="variable"/>
    <w:sig w:usb0="20002A87" w:usb1="00000000" w:usb2="00000000"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BA"/>
    <w:family w:val="swiss"/>
    <w:pitch w:val="variable"/>
    <w:sig w:usb0="E10002FF" w:usb1="4000ACFF" w:usb2="00000009" w:usb3="00000000" w:csb0="0000019F" w:csb1="00000000"/>
  </w:font>
  <w:font w:name="Cambria">
    <w:panose1 w:val="02040503050406030204"/>
    <w:charset w:val="BA"/>
    <w:family w:val="roman"/>
    <w:pitch w:val="variable"/>
    <w:sig w:usb0="E00002FF" w:usb1="400004FF" w:usb2="00000000" w:usb3="00000000" w:csb0="0000019F" w:csb1="00000000"/>
  </w:font>
  <w:font w:name="Myriad Pro">
    <w:altName w:val="Arial"/>
    <w:panose1 w:val="00000000000000000000"/>
    <w:charset w:val="EE"/>
    <w:family w:val="swiss"/>
    <w:notTrueType/>
    <w:pitch w:val="default"/>
    <w:sig w:usb0="00000001" w:usb1="00000000" w:usb2="00000000" w:usb3="00000000" w:csb0="00000003" w:csb1="00000000"/>
  </w:font>
  <w:font w:name="Tahoma">
    <w:panose1 w:val="020B0604030504040204"/>
    <w:charset w:val="BA"/>
    <w:family w:val="swiss"/>
    <w:pitch w:val="variable"/>
    <w:sig w:usb0="E1002EFF" w:usb1="C000605B" w:usb2="00000029" w:usb3="00000000" w:csb0="000101FF" w:csb1="00000000"/>
  </w:font>
  <w:font w:name="Times New Roman,Italic">
    <w:altName w:val="Times New Roman"/>
    <w:panose1 w:val="00000000000000000000"/>
    <w:charset w:val="EE"/>
    <w:family w:val="auto"/>
    <w:notTrueType/>
    <w:pitch w:val="default"/>
    <w:sig w:usb0="00000005" w:usb1="00000000" w:usb2="00000000" w:usb3="00000000" w:csb0="00000002" w:csb1="00000000"/>
  </w:font>
  <w:font w:name="Times New Roman,Bold">
    <w:altName w:val="Times New Roman"/>
    <w:panose1 w:val="00000000000000000000"/>
    <w:charset w:val="EE"/>
    <w:family w:val="auto"/>
    <w:notTrueType/>
    <w:pitch w:val="default"/>
    <w:sig w:usb0="00000005" w:usb1="00000000" w:usb2="00000000" w:usb3="00000000" w:csb0="00000002"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6CC2" w:rsidRDefault="00C86CC2" w:rsidP="00236D6B">
      <w:pPr>
        <w:spacing w:line="240" w:lineRule="auto"/>
      </w:pPr>
      <w:r>
        <w:separator/>
      </w:r>
    </w:p>
  </w:footnote>
  <w:footnote w:type="continuationSeparator" w:id="0">
    <w:p w:rsidR="00C86CC2" w:rsidRDefault="00C86CC2" w:rsidP="00236D6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5337790"/>
      <w:docPartObj>
        <w:docPartGallery w:val="Page Numbers (Top of Page)"/>
        <w:docPartUnique/>
      </w:docPartObj>
    </w:sdtPr>
    <w:sdtEndPr/>
    <w:sdtContent>
      <w:p w:rsidR="00236D6B" w:rsidRDefault="00236D6B">
        <w:pPr>
          <w:pStyle w:val="Antrats"/>
          <w:jc w:val="center"/>
        </w:pPr>
        <w:r>
          <w:fldChar w:fldCharType="begin"/>
        </w:r>
        <w:r>
          <w:instrText>PAGE   \* MERGEFORMAT</w:instrText>
        </w:r>
        <w:r>
          <w:fldChar w:fldCharType="separate"/>
        </w:r>
        <w:r w:rsidR="00960F18">
          <w:rPr>
            <w:noProof/>
          </w:rPr>
          <w:t>7</w:t>
        </w:r>
        <w:r>
          <w:fldChar w:fldCharType="end"/>
        </w:r>
      </w:p>
    </w:sdtContent>
  </w:sdt>
  <w:p w:rsidR="00236D6B" w:rsidRDefault="00236D6B">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7751D0"/>
    <w:multiLevelType w:val="hybridMultilevel"/>
    <w:tmpl w:val="481CDADA"/>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1">
    <w:nsid w:val="50FE64F1"/>
    <w:multiLevelType w:val="hybridMultilevel"/>
    <w:tmpl w:val="F44CA04C"/>
    <w:lvl w:ilvl="0" w:tplc="9A3C9FD4">
      <w:start w:val="1"/>
      <w:numFmt w:val="decimal"/>
      <w:lvlText w:val="%1."/>
      <w:lvlJc w:val="left"/>
      <w:pPr>
        <w:ind w:left="1069" w:hanging="360"/>
      </w:pPr>
    </w:lvl>
    <w:lvl w:ilvl="1" w:tplc="04270019">
      <w:start w:val="1"/>
      <w:numFmt w:val="lowerLetter"/>
      <w:lvlText w:val="%2."/>
      <w:lvlJc w:val="left"/>
      <w:pPr>
        <w:ind w:left="1789" w:hanging="360"/>
      </w:pPr>
    </w:lvl>
    <w:lvl w:ilvl="2" w:tplc="0427001B">
      <w:start w:val="1"/>
      <w:numFmt w:val="lowerRoman"/>
      <w:lvlText w:val="%3."/>
      <w:lvlJc w:val="right"/>
      <w:pPr>
        <w:ind w:left="2509" w:hanging="180"/>
      </w:pPr>
    </w:lvl>
    <w:lvl w:ilvl="3" w:tplc="0427000F">
      <w:start w:val="1"/>
      <w:numFmt w:val="decimal"/>
      <w:lvlText w:val="%4."/>
      <w:lvlJc w:val="left"/>
      <w:pPr>
        <w:ind w:left="3229" w:hanging="360"/>
      </w:pPr>
    </w:lvl>
    <w:lvl w:ilvl="4" w:tplc="04270019">
      <w:start w:val="1"/>
      <w:numFmt w:val="lowerLetter"/>
      <w:lvlText w:val="%5."/>
      <w:lvlJc w:val="left"/>
      <w:pPr>
        <w:ind w:left="3949" w:hanging="360"/>
      </w:pPr>
    </w:lvl>
    <w:lvl w:ilvl="5" w:tplc="0427001B">
      <w:start w:val="1"/>
      <w:numFmt w:val="lowerRoman"/>
      <w:lvlText w:val="%6."/>
      <w:lvlJc w:val="right"/>
      <w:pPr>
        <w:ind w:left="4669" w:hanging="180"/>
      </w:pPr>
    </w:lvl>
    <w:lvl w:ilvl="6" w:tplc="0427000F">
      <w:start w:val="1"/>
      <w:numFmt w:val="decimal"/>
      <w:lvlText w:val="%7."/>
      <w:lvlJc w:val="left"/>
      <w:pPr>
        <w:ind w:left="5389" w:hanging="360"/>
      </w:pPr>
    </w:lvl>
    <w:lvl w:ilvl="7" w:tplc="04270019">
      <w:start w:val="1"/>
      <w:numFmt w:val="lowerLetter"/>
      <w:lvlText w:val="%8."/>
      <w:lvlJc w:val="left"/>
      <w:pPr>
        <w:ind w:left="6109" w:hanging="360"/>
      </w:pPr>
    </w:lvl>
    <w:lvl w:ilvl="8" w:tplc="0427001B">
      <w:start w:val="1"/>
      <w:numFmt w:val="lowerRoman"/>
      <w:lvlText w:val="%9."/>
      <w:lvlJc w:val="right"/>
      <w:pPr>
        <w:ind w:left="6829" w:hanging="180"/>
      </w:pPr>
    </w:lvl>
  </w:abstractNum>
  <w:abstractNum w:abstractNumId="2">
    <w:nsid w:val="6A1E5192"/>
    <w:multiLevelType w:val="hybridMultilevel"/>
    <w:tmpl w:val="481CDADA"/>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3">
    <w:nsid w:val="7D0D2373"/>
    <w:multiLevelType w:val="hybridMultilevel"/>
    <w:tmpl w:val="66A0622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3"/>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396"/>
  <w:drawingGridHorizontalSpacing w:val="12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5B83"/>
    <w:rsid w:val="00022792"/>
    <w:rsid w:val="00050041"/>
    <w:rsid w:val="001A47A9"/>
    <w:rsid w:val="001F450E"/>
    <w:rsid w:val="002151E9"/>
    <w:rsid w:val="00217183"/>
    <w:rsid w:val="00236D6B"/>
    <w:rsid w:val="002A21BE"/>
    <w:rsid w:val="002C56A1"/>
    <w:rsid w:val="00340970"/>
    <w:rsid w:val="004201F3"/>
    <w:rsid w:val="004415F9"/>
    <w:rsid w:val="00464771"/>
    <w:rsid w:val="004940AA"/>
    <w:rsid w:val="004A3875"/>
    <w:rsid w:val="004B6F32"/>
    <w:rsid w:val="004D4D41"/>
    <w:rsid w:val="004F68B2"/>
    <w:rsid w:val="00527C8A"/>
    <w:rsid w:val="00527FD3"/>
    <w:rsid w:val="005A1054"/>
    <w:rsid w:val="005D547A"/>
    <w:rsid w:val="005D61C5"/>
    <w:rsid w:val="00633F2E"/>
    <w:rsid w:val="00704A89"/>
    <w:rsid w:val="00737BDD"/>
    <w:rsid w:val="00755752"/>
    <w:rsid w:val="00835A08"/>
    <w:rsid w:val="00851E02"/>
    <w:rsid w:val="00887561"/>
    <w:rsid w:val="008B3C0F"/>
    <w:rsid w:val="00960F18"/>
    <w:rsid w:val="009648A7"/>
    <w:rsid w:val="00965B36"/>
    <w:rsid w:val="00982E4E"/>
    <w:rsid w:val="009D2913"/>
    <w:rsid w:val="00A8333C"/>
    <w:rsid w:val="00B32EE3"/>
    <w:rsid w:val="00B61248"/>
    <w:rsid w:val="00BA1F10"/>
    <w:rsid w:val="00BB5B83"/>
    <w:rsid w:val="00BE0646"/>
    <w:rsid w:val="00C26569"/>
    <w:rsid w:val="00C86CC2"/>
    <w:rsid w:val="00CB4790"/>
    <w:rsid w:val="00CE336C"/>
    <w:rsid w:val="00CF0DDB"/>
    <w:rsid w:val="00D34829"/>
    <w:rsid w:val="00D52531"/>
    <w:rsid w:val="00D84D11"/>
    <w:rsid w:val="00DC511E"/>
    <w:rsid w:val="00DE2E09"/>
    <w:rsid w:val="00EB3AE8"/>
    <w:rsid w:val="00ED3368"/>
    <w:rsid w:val="00F4614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633F2E"/>
    <w:pPr>
      <w:ind w:firstLine="720"/>
    </w:pPr>
    <w:rPr>
      <w:rFonts w:ascii="Times New Roman" w:hAnsi="Times New Roman"/>
      <w:sz w:val="24"/>
    </w:rPr>
  </w:style>
  <w:style w:type="paragraph" w:styleId="Antrat2">
    <w:name w:val="heading 2"/>
    <w:basedOn w:val="prastasis"/>
    <w:next w:val="prastasis"/>
    <w:link w:val="Antrat2Diagrama"/>
    <w:uiPriority w:val="9"/>
    <w:semiHidden/>
    <w:unhideWhenUsed/>
    <w:qFormat/>
    <w:rsid w:val="00633F2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semiHidden/>
    <w:unhideWhenUsed/>
    <w:qFormat/>
    <w:rsid w:val="00F46148"/>
    <w:pPr>
      <w:keepNext/>
      <w:keepLines/>
      <w:spacing w:before="200"/>
      <w:ind w:firstLine="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Komitetas">
    <w:name w:val="Komitetas"/>
    <w:basedOn w:val="prastasis"/>
    <w:qFormat/>
    <w:rsid w:val="00F46148"/>
    <w:pPr>
      <w:spacing w:line="240" w:lineRule="auto"/>
      <w:ind w:firstLine="0"/>
      <w:jc w:val="center"/>
    </w:pPr>
    <w:rPr>
      <w:rFonts w:eastAsia="Times New Roman" w:cs="Times New Roman"/>
      <w:b/>
      <w:caps/>
      <w:szCs w:val="24"/>
    </w:rPr>
  </w:style>
  <w:style w:type="paragraph" w:customStyle="1" w:styleId="Projektas">
    <w:name w:val="Projektas"/>
    <w:basedOn w:val="Antrat3"/>
    <w:qFormat/>
    <w:rsid w:val="00F46148"/>
    <w:pPr>
      <w:keepLines w:val="0"/>
      <w:spacing w:before="0" w:line="240" w:lineRule="auto"/>
      <w:jc w:val="center"/>
    </w:pPr>
    <w:rPr>
      <w:rFonts w:ascii="Times New Roman" w:eastAsia="Times New Roman" w:hAnsi="Times New Roman" w:cs="Times New Roman"/>
      <w:caps/>
      <w:color w:val="auto"/>
      <w:szCs w:val="20"/>
    </w:rPr>
  </w:style>
  <w:style w:type="character" w:customStyle="1" w:styleId="Antrat3Diagrama">
    <w:name w:val="Antraštė 3 Diagrama"/>
    <w:basedOn w:val="Numatytasispastraiposriftas"/>
    <w:link w:val="Antrat3"/>
    <w:uiPriority w:val="9"/>
    <w:semiHidden/>
    <w:rsid w:val="00F46148"/>
    <w:rPr>
      <w:rFonts w:asciiTheme="majorHAnsi" w:eastAsiaTheme="majorEastAsia" w:hAnsiTheme="majorHAnsi" w:cstheme="majorBidi"/>
      <w:b/>
      <w:bCs/>
      <w:color w:val="4F81BD" w:themeColor="accent1"/>
      <w:sz w:val="24"/>
    </w:rPr>
  </w:style>
  <w:style w:type="paragraph" w:customStyle="1" w:styleId="Dalyviai">
    <w:name w:val="Dalyviai"/>
    <w:basedOn w:val="prastasis"/>
    <w:qFormat/>
    <w:rsid w:val="00F46148"/>
    <w:pPr>
      <w:spacing w:line="240" w:lineRule="auto"/>
      <w:ind w:firstLine="0"/>
    </w:pPr>
    <w:rPr>
      <w:rFonts w:eastAsia="Times New Roman" w:cs="Times New Roman"/>
      <w:szCs w:val="24"/>
    </w:rPr>
  </w:style>
  <w:style w:type="character" w:customStyle="1" w:styleId="susilaike">
    <w:name w:val="susilaike"/>
    <w:qFormat/>
    <w:rsid w:val="00F46148"/>
    <w:rPr>
      <w:rFonts w:ascii="Times New Roman" w:hAnsi="Times New Roman"/>
    </w:rPr>
  </w:style>
  <w:style w:type="paragraph" w:customStyle="1" w:styleId="Pranesejas">
    <w:name w:val="Pranesejas"/>
    <w:basedOn w:val="Pagrindinistekstas"/>
    <w:qFormat/>
    <w:rsid w:val="00F46148"/>
    <w:pPr>
      <w:spacing w:after="0"/>
    </w:pPr>
    <w:rPr>
      <w:rFonts w:eastAsia="Times New Roman" w:cs="Times New Roman"/>
      <w:szCs w:val="20"/>
    </w:rPr>
  </w:style>
  <w:style w:type="paragraph" w:styleId="Pagrindinistekstas">
    <w:name w:val="Body Text"/>
    <w:basedOn w:val="prastasis"/>
    <w:link w:val="PagrindinistekstasDiagrama"/>
    <w:uiPriority w:val="99"/>
    <w:semiHidden/>
    <w:unhideWhenUsed/>
    <w:rsid w:val="00F46148"/>
    <w:pPr>
      <w:spacing w:after="120"/>
      <w:ind w:firstLine="0"/>
    </w:pPr>
  </w:style>
  <w:style w:type="character" w:customStyle="1" w:styleId="PagrindinistekstasDiagrama">
    <w:name w:val="Pagrindinis tekstas Diagrama"/>
    <w:basedOn w:val="Numatytasispastraiposriftas"/>
    <w:link w:val="Pagrindinistekstas"/>
    <w:uiPriority w:val="99"/>
    <w:semiHidden/>
    <w:rsid w:val="00F46148"/>
    <w:rPr>
      <w:rFonts w:ascii="Times New Roman" w:hAnsi="Times New Roman"/>
      <w:sz w:val="24"/>
    </w:rPr>
  </w:style>
  <w:style w:type="paragraph" w:customStyle="1" w:styleId="Isvadakonsoliduotaiversijai6">
    <w:name w:val="Isvada_konsoliduotai_versijai6"/>
    <w:basedOn w:val="prastasis"/>
    <w:qFormat/>
    <w:rsid w:val="00F46148"/>
    <w:pPr>
      <w:keepNext/>
      <w:spacing w:line="240" w:lineRule="auto"/>
      <w:ind w:firstLine="0"/>
      <w:jc w:val="left"/>
      <w:outlineLvl w:val="5"/>
    </w:pPr>
    <w:rPr>
      <w:rFonts w:eastAsia="Times New Roman" w:cs="Times New Roman"/>
      <w:b/>
      <w:bCs/>
      <w:szCs w:val="20"/>
    </w:rPr>
  </w:style>
  <w:style w:type="paragraph" w:styleId="Antrats">
    <w:name w:val="header"/>
    <w:basedOn w:val="prastasis"/>
    <w:link w:val="AntratsDiagrama"/>
    <w:uiPriority w:val="99"/>
    <w:unhideWhenUsed/>
    <w:rsid w:val="00236D6B"/>
    <w:pPr>
      <w:tabs>
        <w:tab w:val="center" w:pos="4819"/>
        <w:tab w:val="right" w:pos="9638"/>
      </w:tabs>
      <w:spacing w:line="240" w:lineRule="auto"/>
      <w:ind w:firstLine="0"/>
    </w:pPr>
  </w:style>
  <w:style w:type="character" w:customStyle="1" w:styleId="AntratsDiagrama">
    <w:name w:val="Antraštės Diagrama"/>
    <w:basedOn w:val="Numatytasispastraiposriftas"/>
    <w:link w:val="Antrats"/>
    <w:uiPriority w:val="99"/>
    <w:rsid w:val="00236D6B"/>
    <w:rPr>
      <w:rFonts w:ascii="Times New Roman" w:hAnsi="Times New Roman"/>
      <w:sz w:val="24"/>
    </w:rPr>
  </w:style>
  <w:style w:type="paragraph" w:styleId="Porat">
    <w:name w:val="footer"/>
    <w:basedOn w:val="prastasis"/>
    <w:link w:val="PoratDiagrama"/>
    <w:uiPriority w:val="99"/>
    <w:unhideWhenUsed/>
    <w:rsid w:val="00236D6B"/>
    <w:pPr>
      <w:tabs>
        <w:tab w:val="center" w:pos="4819"/>
        <w:tab w:val="right" w:pos="9638"/>
      </w:tabs>
      <w:spacing w:line="240" w:lineRule="auto"/>
      <w:ind w:firstLine="0"/>
    </w:pPr>
  </w:style>
  <w:style w:type="character" w:customStyle="1" w:styleId="PoratDiagrama">
    <w:name w:val="Poraštė Diagrama"/>
    <w:basedOn w:val="Numatytasispastraiposriftas"/>
    <w:link w:val="Porat"/>
    <w:uiPriority w:val="99"/>
    <w:rsid w:val="00236D6B"/>
    <w:rPr>
      <w:rFonts w:ascii="Times New Roman" w:hAnsi="Times New Roman"/>
      <w:sz w:val="24"/>
    </w:rPr>
  </w:style>
  <w:style w:type="paragraph" w:customStyle="1" w:styleId="Pa6">
    <w:name w:val="Pa6"/>
    <w:basedOn w:val="prastasis"/>
    <w:next w:val="prastasis"/>
    <w:uiPriority w:val="99"/>
    <w:rsid w:val="002A21BE"/>
    <w:pPr>
      <w:autoSpaceDE w:val="0"/>
      <w:autoSpaceDN w:val="0"/>
      <w:adjustRightInd w:val="0"/>
      <w:spacing w:line="191" w:lineRule="atLeast"/>
      <w:ind w:firstLine="0"/>
      <w:jc w:val="left"/>
    </w:pPr>
    <w:rPr>
      <w:rFonts w:ascii="Myriad Pro" w:hAnsi="Myriad Pro"/>
      <w:szCs w:val="24"/>
    </w:rPr>
  </w:style>
  <w:style w:type="character" w:styleId="Grietas">
    <w:name w:val="Strong"/>
    <w:basedOn w:val="Numatytasispastraiposriftas"/>
    <w:uiPriority w:val="22"/>
    <w:qFormat/>
    <w:rsid w:val="001F450E"/>
    <w:rPr>
      <w:b/>
      <w:bCs/>
    </w:rPr>
  </w:style>
  <w:style w:type="character" w:styleId="Emfaz">
    <w:name w:val="Emphasis"/>
    <w:basedOn w:val="Numatytasispastraiposriftas"/>
    <w:uiPriority w:val="20"/>
    <w:qFormat/>
    <w:rsid w:val="001F450E"/>
    <w:rPr>
      <w:i/>
      <w:iCs/>
    </w:rPr>
  </w:style>
  <w:style w:type="paragraph" w:styleId="Sraopastraipa">
    <w:name w:val="List Paragraph"/>
    <w:basedOn w:val="prastasis"/>
    <w:uiPriority w:val="34"/>
    <w:qFormat/>
    <w:rsid w:val="00527FD3"/>
    <w:pPr>
      <w:ind w:left="720"/>
      <w:contextualSpacing/>
    </w:pPr>
  </w:style>
  <w:style w:type="character" w:customStyle="1" w:styleId="Antrat2Diagrama">
    <w:name w:val="Antraštė 2 Diagrama"/>
    <w:basedOn w:val="Numatytasispastraiposriftas"/>
    <w:link w:val="Antrat2"/>
    <w:uiPriority w:val="9"/>
    <w:semiHidden/>
    <w:rsid w:val="00633F2E"/>
    <w:rPr>
      <w:rFonts w:asciiTheme="majorHAnsi" w:eastAsiaTheme="majorEastAsia" w:hAnsiTheme="majorHAnsi" w:cstheme="majorBidi"/>
      <w:b/>
      <w:bCs/>
      <w:color w:val="4F81BD" w:themeColor="accent1"/>
      <w:sz w:val="26"/>
      <w:szCs w:val="26"/>
    </w:rPr>
  </w:style>
  <w:style w:type="paragraph" w:styleId="Debesliotekstas">
    <w:name w:val="Balloon Text"/>
    <w:basedOn w:val="prastasis"/>
    <w:link w:val="DebesliotekstasDiagrama"/>
    <w:uiPriority w:val="99"/>
    <w:semiHidden/>
    <w:unhideWhenUsed/>
    <w:rsid w:val="00965B36"/>
    <w:pPr>
      <w:spacing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965B3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633F2E"/>
    <w:pPr>
      <w:ind w:firstLine="720"/>
    </w:pPr>
    <w:rPr>
      <w:rFonts w:ascii="Times New Roman" w:hAnsi="Times New Roman"/>
      <w:sz w:val="24"/>
    </w:rPr>
  </w:style>
  <w:style w:type="paragraph" w:styleId="Antrat2">
    <w:name w:val="heading 2"/>
    <w:basedOn w:val="prastasis"/>
    <w:next w:val="prastasis"/>
    <w:link w:val="Antrat2Diagrama"/>
    <w:uiPriority w:val="9"/>
    <w:semiHidden/>
    <w:unhideWhenUsed/>
    <w:qFormat/>
    <w:rsid w:val="00633F2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semiHidden/>
    <w:unhideWhenUsed/>
    <w:qFormat/>
    <w:rsid w:val="00F46148"/>
    <w:pPr>
      <w:keepNext/>
      <w:keepLines/>
      <w:spacing w:before="200"/>
      <w:ind w:firstLine="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Komitetas">
    <w:name w:val="Komitetas"/>
    <w:basedOn w:val="prastasis"/>
    <w:qFormat/>
    <w:rsid w:val="00F46148"/>
    <w:pPr>
      <w:spacing w:line="240" w:lineRule="auto"/>
      <w:ind w:firstLine="0"/>
      <w:jc w:val="center"/>
    </w:pPr>
    <w:rPr>
      <w:rFonts w:eastAsia="Times New Roman" w:cs="Times New Roman"/>
      <w:b/>
      <w:caps/>
      <w:szCs w:val="24"/>
    </w:rPr>
  </w:style>
  <w:style w:type="paragraph" w:customStyle="1" w:styleId="Projektas">
    <w:name w:val="Projektas"/>
    <w:basedOn w:val="Antrat3"/>
    <w:qFormat/>
    <w:rsid w:val="00F46148"/>
    <w:pPr>
      <w:keepLines w:val="0"/>
      <w:spacing w:before="0" w:line="240" w:lineRule="auto"/>
      <w:jc w:val="center"/>
    </w:pPr>
    <w:rPr>
      <w:rFonts w:ascii="Times New Roman" w:eastAsia="Times New Roman" w:hAnsi="Times New Roman" w:cs="Times New Roman"/>
      <w:caps/>
      <w:color w:val="auto"/>
      <w:szCs w:val="20"/>
    </w:rPr>
  </w:style>
  <w:style w:type="character" w:customStyle="1" w:styleId="Antrat3Diagrama">
    <w:name w:val="Antraštė 3 Diagrama"/>
    <w:basedOn w:val="Numatytasispastraiposriftas"/>
    <w:link w:val="Antrat3"/>
    <w:uiPriority w:val="9"/>
    <w:semiHidden/>
    <w:rsid w:val="00F46148"/>
    <w:rPr>
      <w:rFonts w:asciiTheme="majorHAnsi" w:eastAsiaTheme="majorEastAsia" w:hAnsiTheme="majorHAnsi" w:cstheme="majorBidi"/>
      <w:b/>
      <w:bCs/>
      <w:color w:val="4F81BD" w:themeColor="accent1"/>
      <w:sz w:val="24"/>
    </w:rPr>
  </w:style>
  <w:style w:type="paragraph" w:customStyle="1" w:styleId="Dalyviai">
    <w:name w:val="Dalyviai"/>
    <w:basedOn w:val="prastasis"/>
    <w:qFormat/>
    <w:rsid w:val="00F46148"/>
    <w:pPr>
      <w:spacing w:line="240" w:lineRule="auto"/>
      <w:ind w:firstLine="0"/>
    </w:pPr>
    <w:rPr>
      <w:rFonts w:eastAsia="Times New Roman" w:cs="Times New Roman"/>
      <w:szCs w:val="24"/>
    </w:rPr>
  </w:style>
  <w:style w:type="character" w:customStyle="1" w:styleId="susilaike">
    <w:name w:val="susilaike"/>
    <w:qFormat/>
    <w:rsid w:val="00F46148"/>
    <w:rPr>
      <w:rFonts w:ascii="Times New Roman" w:hAnsi="Times New Roman"/>
    </w:rPr>
  </w:style>
  <w:style w:type="paragraph" w:customStyle="1" w:styleId="Pranesejas">
    <w:name w:val="Pranesejas"/>
    <w:basedOn w:val="Pagrindinistekstas"/>
    <w:qFormat/>
    <w:rsid w:val="00F46148"/>
    <w:pPr>
      <w:spacing w:after="0"/>
    </w:pPr>
    <w:rPr>
      <w:rFonts w:eastAsia="Times New Roman" w:cs="Times New Roman"/>
      <w:szCs w:val="20"/>
    </w:rPr>
  </w:style>
  <w:style w:type="paragraph" w:styleId="Pagrindinistekstas">
    <w:name w:val="Body Text"/>
    <w:basedOn w:val="prastasis"/>
    <w:link w:val="PagrindinistekstasDiagrama"/>
    <w:uiPriority w:val="99"/>
    <w:semiHidden/>
    <w:unhideWhenUsed/>
    <w:rsid w:val="00F46148"/>
    <w:pPr>
      <w:spacing w:after="120"/>
      <w:ind w:firstLine="0"/>
    </w:pPr>
  </w:style>
  <w:style w:type="character" w:customStyle="1" w:styleId="PagrindinistekstasDiagrama">
    <w:name w:val="Pagrindinis tekstas Diagrama"/>
    <w:basedOn w:val="Numatytasispastraiposriftas"/>
    <w:link w:val="Pagrindinistekstas"/>
    <w:uiPriority w:val="99"/>
    <w:semiHidden/>
    <w:rsid w:val="00F46148"/>
    <w:rPr>
      <w:rFonts w:ascii="Times New Roman" w:hAnsi="Times New Roman"/>
      <w:sz w:val="24"/>
    </w:rPr>
  </w:style>
  <w:style w:type="paragraph" w:customStyle="1" w:styleId="Isvadakonsoliduotaiversijai6">
    <w:name w:val="Isvada_konsoliduotai_versijai6"/>
    <w:basedOn w:val="prastasis"/>
    <w:qFormat/>
    <w:rsid w:val="00F46148"/>
    <w:pPr>
      <w:keepNext/>
      <w:spacing w:line="240" w:lineRule="auto"/>
      <w:ind w:firstLine="0"/>
      <w:jc w:val="left"/>
      <w:outlineLvl w:val="5"/>
    </w:pPr>
    <w:rPr>
      <w:rFonts w:eastAsia="Times New Roman" w:cs="Times New Roman"/>
      <w:b/>
      <w:bCs/>
      <w:szCs w:val="20"/>
    </w:rPr>
  </w:style>
  <w:style w:type="paragraph" w:styleId="Antrats">
    <w:name w:val="header"/>
    <w:basedOn w:val="prastasis"/>
    <w:link w:val="AntratsDiagrama"/>
    <w:uiPriority w:val="99"/>
    <w:unhideWhenUsed/>
    <w:rsid w:val="00236D6B"/>
    <w:pPr>
      <w:tabs>
        <w:tab w:val="center" w:pos="4819"/>
        <w:tab w:val="right" w:pos="9638"/>
      </w:tabs>
      <w:spacing w:line="240" w:lineRule="auto"/>
      <w:ind w:firstLine="0"/>
    </w:pPr>
  </w:style>
  <w:style w:type="character" w:customStyle="1" w:styleId="AntratsDiagrama">
    <w:name w:val="Antraštės Diagrama"/>
    <w:basedOn w:val="Numatytasispastraiposriftas"/>
    <w:link w:val="Antrats"/>
    <w:uiPriority w:val="99"/>
    <w:rsid w:val="00236D6B"/>
    <w:rPr>
      <w:rFonts w:ascii="Times New Roman" w:hAnsi="Times New Roman"/>
      <w:sz w:val="24"/>
    </w:rPr>
  </w:style>
  <w:style w:type="paragraph" w:styleId="Porat">
    <w:name w:val="footer"/>
    <w:basedOn w:val="prastasis"/>
    <w:link w:val="PoratDiagrama"/>
    <w:uiPriority w:val="99"/>
    <w:unhideWhenUsed/>
    <w:rsid w:val="00236D6B"/>
    <w:pPr>
      <w:tabs>
        <w:tab w:val="center" w:pos="4819"/>
        <w:tab w:val="right" w:pos="9638"/>
      </w:tabs>
      <w:spacing w:line="240" w:lineRule="auto"/>
      <w:ind w:firstLine="0"/>
    </w:pPr>
  </w:style>
  <w:style w:type="character" w:customStyle="1" w:styleId="PoratDiagrama">
    <w:name w:val="Poraštė Diagrama"/>
    <w:basedOn w:val="Numatytasispastraiposriftas"/>
    <w:link w:val="Porat"/>
    <w:uiPriority w:val="99"/>
    <w:rsid w:val="00236D6B"/>
    <w:rPr>
      <w:rFonts w:ascii="Times New Roman" w:hAnsi="Times New Roman"/>
      <w:sz w:val="24"/>
    </w:rPr>
  </w:style>
  <w:style w:type="paragraph" w:customStyle="1" w:styleId="Pa6">
    <w:name w:val="Pa6"/>
    <w:basedOn w:val="prastasis"/>
    <w:next w:val="prastasis"/>
    <w:uiPriority w:val="99"/>
    <w:rsid w:val="002A21BE"/>
    <w:pPr>
      <w:autoSpaceDE w:val="0"/>
      <w:autoSpaceDN w:val="0"/>
      <w:adjustRightInd w:val="0"/>
      <w:spacing w:line="191" w:lineRule="atLeast"/>
      <w:ind w:firstLine="0"/>
      <w:jc w:val="left"/>
    </w:pPr>
    <w:rPr>
      <w:rFonts w:ascii="Myriad Pro" w:hAnsi="Myriad Pro"/>
      <w:szCs w:val="24"/>
    </w:rPr>
  </w:style>
  <w:style w:type="character" w:styleId="Grietas">
    <w:name w:val="Strong"/>
    <w:basedOn w:val="Numatytasispastraiposriftas"/>
    <w:uiPriority w:val="22"/>
    <w:qFormat/>
    <w:rsid w:val="001F450E"/>
    <w:rPr>
      <w:b/>
      <w:bCs/>
    </w:rPr>
  </w:style>
  <w:style w:type="character" w:styleId="Emfaz">
    <w:name w:val="Emphasis"/>
    <w:basedOn w:val="Numatytasispastraiposriftas"/>
    <w:uiPriority w:val="20"/>
    <w:qFormat/>
    <w:rsid w:val="001F450E"/>
    <w:rPr>
      <w:i/>
      <w:iCs/>
    </w:rPr>
  </w:style>
  <w:style w:type="paragraph" w:styleId="Sraopastraipa">
    <w:name w:val="List Paragraph"/>
    <w:basedOn w:val="prastasis"/>
    <w:uiPriority w:val="34"/>
    <w:qFormat/>
    <w:rsid w:val="00527FD3"/>
    <w:pPr>
      <w:ind w:left="720"/>
      <w:contextualSpacing/>
    </w:pPr>
  </w:style>
  <w:style w:type="character" w:customStyle="1" w:styleId="Antrat2Diagrama">
    <w:name w:val="Antraštė 2 Diagrama"/>
    <w:basedOn w:val="Numatytasispastraiposriftas"/>
    <w:link w:val="Antrat2"/>
    <w:uiPriority w:val="9"/>
    <w:semiHidden/>
    <w:rsid w:val="00633F2E"/>
    <w:rPr>
      <w:rFonts w:asciiTheme="majorHAnsi" w:eastAsiaTheme="majorEastAsia" w:hAnsiTheme="majorHAnsi" w:cstheme="majorBidi"/>
      <w:b/>
      <w:bCs/>
      <w:color w:val="4F81BD" w:themeColor="accent1"/>
      <w:sz w:val="26"/>
      <w:szCs w:val="26"/>
    </w:rPr>
  </w:style>
  <w:style w:type="paragraph" w:styleId="Debesliotekstas">
    <w:name w:val="Balloon Text"/>
    <w:basedOn w:val="prastasis"/>
    <w:link w:val="DebesliotekstasDiagrama"/>
    <w:uiPriority w:val="99"/>
    <w:semiHidden/>
    <w:unhideWhenUsed/>
    <w:rsid w:val="00965B36"/>
    <w:pPr>
      <w:spacing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965B3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365610">
      <w:bodyDiv w:val="1"/>
      <w:marLeft w:val="0"/>
      <w:marRight w:val="0"/>
      <w:marTop w:val="0"/>
      <w:marBottom w:val="0"/>
      <w:divBdr>
        <w:top w:val="none" w:sz="0" w:space="0" w:color="auto"/>
        <w:left w:val="none" w:sz="0" w:space="0" w:color="auto"/>
        <w:bottom w:val="none" w:sz="0" w:space="0" w:color="auto"/>
        <w:right w:val="none" w:sz="0" w:space="0" w:color="auto"/>
      </w:divBdr>
    </w:div>
    <w:div w:id="555816970">
      <w:bodyDiv w:val="1"/>
      <w:marLeft w:val="0"/>
      <w:marRight w:val="0"/>
      <w:marTop w:val="0"/>
      <w:marBottom w:val="0"/>
      <w:divBdr>
        <w:top w:val="none" w:sz="0" w:space="0" w:color="auto"/>
        <w:left w:val="none" w:sz="0" w:space="0" w:color="auto"/>
        <w:bottom w:val="none" w:sz="0" w:space="0" w:color="auto"/>
        <w:right w:val="none" w:sz="0" w:space="0" w:color="auto"/>
      </w:divBdr>
    </w:div>
    <w:div w:id="1023241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15084</Words>
  <Characters>8599</Characters>
  <Application>Microsoft Office Word</Application>
  <DocSecurity>4</DocSecurity>
  <Lines>71</Lines>
  <Paragraphs>47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RAGALIAUSKIENĖ Rūta</dc:creator>
  <cp:lastModifiedBy>RUBEŽĖ Asta</cp:lastModifiedBy>
  <cp:revision>2</cp:revision>
  <cp:lastPrinted>2015-11-04T06:20:00Z</cp:lastPrinted>
  <dcterms:created xsi:type="dcterms:W3CDTF">2015-11-06T08:42:00Z</dcterms:created>
  <dcterms:modified xsi:type="dcterms:W3CDTF">2015-11-06T08:42:00Z</dcterms:modified>
</cp:coreProperties>
</file>