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3A3" w:rsidRDefault="00A923D2" w:rsidP="006B33A3">
      <w:pPr>
        <w:jc w:val="center"/>
        <w:rPr>
          <w:rFonts w:cs="Times New Roman"/>
          <w:b/>
          <w:szCs w:val="24"/>
        </w:rPr>
      </w:pPr>
      <w:r>
        <w:rPr>
          <w:rFonts w:cs="Times New Roman"/>
          <w:b/>
          <w:szCs w:val="24"/>
        </w:rPr>
        <w:t>Informacija</w:t>
      </w:r>
      <w:r w:rsidR="006B33A3" w:rsidRPr="0025634D">
        <w:rPr>
          <w:rFonts w:cs="Times New Roman"/>
          <w:b/>
          <w:szCs w:val="24"/>
        </w:rPr>
        <w:t xml:space="preserve"> ap</w:t>
      </w:r>
      <w:r w:rsidR="006B33A3">
        <w:rPr>
          <w:rFonts w:cs="Times New Roman"/>
          <w:b/>
          <w:szCs w:val="24"/>
        </w:rPr>
        <w:t>ie Komisijos 2015 m. spalio 21</w:t>
      </w:r>
      <w:r w:rsidR="006B33A3" w:rsidRPr="0025634D">
        <w:rPr>
          <w:rFonts w:cs="Times New Roman"/>
          <w:b/>
          <w:szCs w:val="24"/>
        </w:rPr>
        <w:t xml:space="preserve"> d. posėdyje nagrinėtus klausimus ir priimtus sprendimus</w:t>
      </w:r>
    </w:p>
    <w:p w:rsidR="006B33A3" w:rsidRPr="0025634D" w:rsidRDefault="006B33A3" w:rsidP="006B33A3">
      <w:pPr>
        <w:jc w:val="center"/>
        <w:rPr>
          <w:rFonts w:cs="Times New Roman"/>
          <w:b/>
          <w:szCs w:val="24"/>
        </w:rPr>
      </w:pPr>
    </w:p>
    <w:p w:rsidR="006B33A3" w:rsidRPr="0025634D" w:rsidRDefault="00310FCB" w:rsidP="006B33A3">
      <w:pPr>
        <w:rPr>
          <w:rFonts w:cs="Times New Roman"/>
          <w:szCs w:val="24"/>
        </w:rPr>
      </w:pPr>
      <w:r>
        <w:rPr>
          <w:rFonts w:cs="Times New Roman"/>
          <w:szCs w:val="24"/>
        </w:rPr>
        <w:t xml:space="preserve">Komisijos 2015 m. </w:t>
      </w:r>
      <w:r w:rsidR="006B33A3">
        <w:rPr>
          <w:rFonts w:cs="Times New Roman"/>
          <w:szCs w:val="24"/>
        </w:rPr>
        <w:t>spalio 21</w:t>
      </w:r>
      <w:r w:rsidR="006B33A3" w:rsidRPr="0025634D">
        <w:rPr>
          <w:rFonts w:cs="Times New Roman"/>
          <w:szCs w:val="24"/>
        </w:rPr>
        <w:t xml:space="preserve"> d. posėdyje buvo nagrinėjami šie klausimai:</w:t>
      </w:r>
    </w:p>
    <w:p w:rsidR="006B33A3" w:rsidRDefault="00A923D2" w:rsidP="006B33A3">
      <w:pPr>
        <w:rPr>
          <w:szCs w:val="24"/>
        </w:rPr>
      </w:pPr>
      <w:r>
        <w:rPr>
          <w:szCs w:val="24"/>
        </w:rPr>
        <w:t xml:space="preserve">1. </w:t>
      </w:r>
      <w:r w:rsidR="00F717EE">
        <w:rPr>
          <w:szCs w:val="24"/>
        </w:rPr>
        <w:t xml:space="preserve">Dėl Anatolijaus Lapinsko kreipimosi </w:t>
      </w:r>
      <w:r w:rsidR="00F717EE" w:rsidRPr="00AD6BDA">
        <w:rPr>
          <w:szCs w:val="24"/>
        </w:rPr>
        <w:t>„</w:t>
      </w:r>
      <w:r w:rsidR="00F717EE">
        <w:rPr>
          <w:szCs w:val="24"/>
        </w:rPr>
        <w:t>Dėl pensijų reformos sistemos įstatymo pripažinimo netekusiu galios“.</w:t>
      </w:r>
    </w:p>
    <w:p w:rsidR="006B33A3" w:rsidRDefault="006B33A3" w:rsidP="006B33A3">
      <w:pPr>
        <w:rPr>
          <w:szCs w:val="24"/>
        </w:rPr>
      </w:pPr>
      <w:r>
        <w:rPr>
          <w:szCs w:val="24"/>
        </w:rPr>
        <w:t xml:space="preserve">2. </w:t>
      </w:r>
      <w:r w:rsidR="00F717EE">
        <w:rPr>
          <w:szCs w:val="24"/>
        </w:rPr>
        <w:t xml:space="preserve">Dėl Sauliaus Narkevičiaus ir kitų pareiškėjų kreipimosi </w:t>
      </w:r>
      <w:r w:rsidR="00F717EE" w:rsidRPr="00A5702D">
        <w:rPr>
          <w:szCs w:val="24"/>
        </w:rPr>
        <w:t>„Dėl Lietuvos Respublikos bausmių vykdymo kodekso pakeitimo įstatymo Nr. XII-1818 pakeitimo.“</w:t>
      </w:r>
      <w:r w:rsidR="00F717EE">
        <w:rPr>
          <w:szCs w:val="24"/>
        </w:rPr>
        <w:t xml:space="preserve"> </w:t>
      </w:r>
    </w:p>
    <w:p w:rsidR="006B33A3" w:rsidRDefault="006B33A3" w:rsidP="006B33A3">
      <w:pPr>
        <w:rPr>
          <w:szCs w:val="24"/>
        </w:rPr>
      </w:pPr>
      <w:r>
        <w:rPr>
          <w:szCs w:val="24"/>
        </w:rPr>
        <w:t xml:space="preserve">3. </w:t>
      </w:r>
      <w:r w:rsidR="00F717EE">
        <w:rPr>
          <w:szCs w:val="24"/>
        </w:rPr>
        <w:t xml:space="preserve">Dėl Romualdo </w:t>
      </w:r>
      <w:proofErr w:type="spellStart"/>
      <w:r w:rsidR="00F717EE">
        <w:rPr>
          <w:szCs w:val="24"/>
        </w:rPr>
        <w:t>Stralkaus</w:t>
      </w:r>
      <w:proofErr w:type="spellEnd"/>
      <w:r w:rsidR="00F717EE">
        <w:rPr>
          <w:szCs w:val="24"/>
        </w:rPr>
        <w:t xml:space="preserve"> skundo dėl Komisijos 2015 m. rugsėjo 23 d. sprendimo nepripažinti jo kreipimosi peticija. </w:t>
      </w:r>
    </w:p>
    <w:p w:rsidR="006B33A3" w:rsidRDefault="006B33A3" w:rsidP="006B33A3">
      <w:pPr>
        <w:rPr>
          <w:szCs w:val="24"/>
        </w:rPr>
      </w:pPr>
      <w:r>
        <w:rPr>
          <w:szCs w:val="24"/>
        </w:rPr>
        <w:t xml:space="preserve">4. </w:t>
      </w:r>
      <w:r w:rsidR="00F717EE">
        <w:rPr>
          <w:szCs w:val="24"/>
        </w:rPr>
        <w:t>Dėl Romualdo Čepulio kreipimosi</w:t>
      </w:r>
    </w:p>
    <w:p w:rsidR="00A923D2" w:rsidRDefault="006B33A3" w:rsidP="00A923D2">
      <w:pPr>
        <w:rPr>
          <w:szCs w:val="24"/>
        </w:rPr>
      </w:pPr>
      <w:r>
        <w:rPr>
          <w:szCs w:val="24"/>
        </w:rPr>
        <w:t xml:space="preserve">1. </w:t>
      </w:r>
      <w:r w:rsidR="00A923D2">
        <w:rPr>
          <w:szCs w:val="24"/>
        </w:rPr>
        <w:t xml:space="preserve">Komisija nusprendė Anatolijaus Lapinsko kreipimąsi </w:t>
      </w:r>
      <w:r w:rsidR="00A923D2" w:rsidRPr="00AD6BDA">
        <w:rPr>
          <w:szCs w:val="24"/>
        </w:rPr>
        <w:t>„</w:t>
      </w:r>
      <w:r w:rsidR="00A923D2">
        <w:rPr>
          <w:szCs w:val="24"/>
        </w:rPr>
        <w:t>Dėl pensijų reformos sistemos įstatymo pripažinimo netekusiu galios“ pripažinti peticija ir priimti ją nagrinėti.</w:t>
      </w:r>
    </w:p>
    <w:p w:rsidR="002351E2" w:rsidRPr="00B57009" w:rsidRDefault="002351E2" w:rsidP="002351E2">
      <w:pPr>
        <w:autoSpaceDE w:val="0"/>
        <w:autoSpaceDN w:val="0"/>
        <w:adjustRightInd w:val="0"/>
        <w:ind w:firstLine="0"/>
        <w:rPr>
          <w:rFonts w:cs="Times New Roman"/>
          <w:bCs/>
          <w:szCs w:val="24"/>
        </w:rPr>
      </w:pPr>
      <w:r>
        <w:rPr>
          <w:rFonts w:cs="Times New Roman"/>
          <w:szCs w:val="24"/>
        </w:rPr>
        <w:tab/>
      </w:r>
      <w:r w:rsidRPr="00B57009">
        <w:rPr>
          <w:rFonts w:cs="Times New Roman"/>
          <w:szCs w:val="24"/>
        </w:rPr>
        <w:t>Pareiškėjas siūlo</w:t>
      </w:r>
      <w:r w:rsidRPr="00B57009">
        <w:rPr>
          <w:rFonts w:cs="Times New Roman"/>
          <w:b/>
          <w:bCs/>
          <w:szCs w:val="24"/>
        </w:rPr>
        <w:t xml:space="preserve"> </w:t>
      </w:r>
      <w:r w:rsidRPr="002351E2">
        <w:rPr>
          <w:rFonts w:cs="Times New Roman"/>
          <w:bCs/>
          <w:szCs w:val="24"/>
        </w:rPr>
        <w:t>„</w:t>
      </w:r>
      <w:r w:rsidRPr="00B57009">
        <w:rPr>
          <w:rFonts w:cs="Times New Roman"/>
          <w:bCs/>
          <w:szCs w:val="24"/>
        </w:rPr>
        <w:t>pripažinti Pensijų sistemos reformos įstatymą netekusiu galios, kaip</w:t>
      </w:r>
      <w:r>
        <w:rPr>
          <w:rFonts w:cs="Times New Roman"/>
          <w:bCs/>
          <w:szCs w:val="24"/>
        </w:rPr>
        <w:t xml:space="preserve"> </w:t>
      </w:r>
      <w:r w:rsidRPr="00B57009">
        <w:rPr>
          <w:rFonts w:cs="Times New Roman"/>
          <w:bCs/>
          <w:szCs w:val="24"/>
        </w:rPr>
        <w:t>nevykdančio įstatyme užfiksuotų įsipareigojimų, atnešančio žalą valstybei ir</w:t>
      </w:r>
      <w:r>
        <w:rPr>
          <w:rFonts w:cs="Times New Roman"/>
          <w:bCs/>
          <w:szCs w:val="24"/>
        </w:rPr>
        <w:t xml:space="preserve"> jos piliečiams“.</w:t>
      </w:r>
    </w:p>
    <w:p w:rsidR="00954BA9" w:rsidRDefault="002351E2" w:rsidP="00954BA9">
      <w:r>
        <w:rPr>
          <w:szCs w:val="24"/>
        </w:rPr>
        <w:t>2.</w:t>
      </w:r>
      <w:r w:rsidR="00954BA9">
        <w:rPr>
          <w:szCs w:val="24"/>
        </w:rPr>
        <w:t xml:space="preserve"> Komisija, vadovaudamasi Peticijų įstatymo 4 straipsnio 1 dalimi,</w:t>
      </w:r>
      <w:r w:rsidR="00954BA9" w:rsidRPr="00EF388A">
        <w:rPr>
          <w:szCs w:val="24"/>
        </w:rPr>
        <w:t xml:space="preserve"> </w:t>
      </w:r>
      <w:r w:rsidR="00954BA9">
        <w:rPr>
          <w:szCs w:val="24"/>
        </w:rPr>
        <w:t>nusprendė</w:t>
      </w:r>
      <w:r w:rsidR="00954BA9" w:rsidRPr="00EF388A">
        <w:rPr>
          <w:szCs w:val="24"/>
        </w:rPr>
        <w:t xml:space="preserve"> </w:t>
      </w:r>
      <w:r w:rsidR="00954BA9">
        <w:rPr>
          <w:szCs w:val="24"/>
        </w:rPr>
        <w:t xml:space="preserve">Sauliaus Narkevičiaus ir kitų pareiškėjų kreipimąsi </w:t>
      </w:r>
      <w:r w:rsidR="00954BA9" w:rsidRPr="002F7ADF">
        <w:rPr>
          <w:rFonts w:cs="CG Times"/>
          <w:szCs w:val="24"/>
        </w:rPr>
        <w:t xml:space="preserve">„Dėl kalinių bado akcijos“ </w:t>
      </w:r>
      <w:r w:rsidR="00954BA9" w:rsidRPr="002F7ADF">
        <w:rPr>
          <w:szCs w:val="24"/>
        </w:rPr>
        <w:t>nenagrinėti</w:t>
      </w:r>
      <w:r w:rsidR="00954BA9">
        <w:rPr>
          <w:szCs w:val="24"/>
        </w:rPr>
        <w:t xml:space="preserve"> Peticijų įstatyme nustatytais pagrindais – </w:t>
      </w:r>
      <w:r w:rsidR="00954BA9">
        <w:t>kreipimasis neatitinka Peticijų įstatyme nustatytų formos ir turinio reikalavimų.</w:t>
      </w:r>
    </w:p>
    <w:p w:rsidR="00954BA9" w:rsidRPr="00954BA9" w:rsidRDefault="00954BA9" w:rsidP="00954BA9">
      <w:pPr>
        <w:rPr>
          <w:rFonts w:cs="Times New Roman"/>
          <w:szCs w:val="24"/>
        </w:rPr>
      </w:pPr>
      <w:r>
        <w:rPr>
          <w:szCs w:val="24"/>
        </w:rPr>
        <w:t xml:space="preserve">Kreipimųsi (peticijų) pateikimo ir nagrinėjimo tvarką nustato specialus Lietuvos Respublikos peticijų įstatymas, </w:t>
      </w:r>
      <w:r w:rsidRPr="00170D95">
        <w:rPr>
          <w:szCs w:val="24"/>
        </w:rPr>
        <w:t>kuriame yra nustatyti visi svarbiausi peticijos teisės</w:t>
      </w:r>
      <w:r>
        <w:rPr>
          <w:szCs w:val="24"/>
        </w:rPr>
        <w:t xml:space="preserve"> įgyvendinimo tvarkos elementai:</w:t>
      </w:r>
      <w:r w:rsidRPr="00170D95">
        <w:rPr>
          <w:szCs w:val="24"/>
        </w:rPr>
        <w:t xml:space="preserve"> dėl</w:t>
      </w:r>
      <w:r>
        <w:rPr>
          <w:szCs w:val="24"/>
        </w:rPr>
        <w:t xml:space="preserve"> ko galima kreiptis su peticija,</w:t>
      </w:r>
      <w:r w:rsidRPr="00170D95">
        <w:rPr>
          <w:szCs w:val="24"/>
        </w:rPr>
        <w:t xml:space="preserve"> kurioms viešosios valdžios institucijo</w:t>
      </w:r>
      <w:r>
        <w:rPr>
          <w:szCs w:val="24"/>
        </w:rPr>
        <w:t>ms gali būti paduodama peticija,</w:t>
      </w:r>
      <w:r w:rsidRPr="00170D95">
        <w:rPr>
          <w:szCs w:val="24"/>
        </w:rPr>
        <w:t xml:space="preserve"> formalūs reikalavimai,</w:t>
      </w:r>
      <w:r>
        <w:rPr>
          <w:szCs w:val="24"/>
        </w:rPr>
        <w:t xml:space="preserve"> kuriuos turi atitikti peticija,</w:t>
      </w:r>
      <w:r w:rsidRPr="00170D95">
        <w:rPr>
          <w:szCs w:val="24"/>
        </w:rPr>
        <w:t xml:space="preserve"> peticijos padavimo </w:t>
      </w:r>
      <w:r w:rsidRPr="00954BA9">
        <w:rPr>
          <w:rFonts w:cs="Times New Roman"/>
          <w:szCs w:val="24"/>
        </w:rPr>
        <w:t>tvarka ir kt.</w:t>
      </w:r>
    </w:p>
    <w:p w:rsidR="00954BA9" w:rsidRPr="00954BA9" w:rsidRDefault="00954BA9" w:rsidP="00954BA9">
      <w:pPr>
        <w:rPr>
          <w:rFonts w:cs="Times New Roman"/>
          <w:szCs w:val="24"/>
        </w:rPr>
      </w:pPr>
      <w:r w:rsidRPr="00954BA9">
        <w:rPr>
          <w:rFonts w:cs="Times New Roman"/>
          <w:szCs w:val="24"/>
        </w:rPr>
        <w:t>Peticijų įstatymo 1 straipsnio 3 dalyje yra nustatyta</w:t>
      </w:r>
      <w:r>
        <w:rPr>
          <w:rFonts w:cs="Times New Roman"/>
          <w:szCs w:val="24"/>
        </w:rPr>
        <w:t>, kad Peticijų įstatymas neregla</w:t>
      </w:r>
      <w:r w:rsidRPr="00954BA9">
        <w:rPr>
          <w:rFonts w:cs="Times New Roman"/>
          <w:szCs w:val="24"/>
        </w:rPr>
        <w:t xml:space="preserve">mentuoja </w:t>
      </w:r>
      <w:r w:rsidRPr="00954BA9">
        <w:rPr>
          <w:rStyle w:val="Typewriter"/>
          <w:rFonts w:ascii="Times New Roman" w:hAnsi="Times New Roman" w:cs="Times New Roman"/>
          <w:sz w:val="24"/>
          <w:szCs w:val="24"/>
        </w:rPr>
        <w:t>skundų, pareiškimų ir pasiūlymų nagrinėjimo tvarkos, kurią nustato kiti įstatymai ir teisės aktai.</w:t>
      </w:r>
      <w:r w:rsidRPr="00954BA9">
        <w:rPr>
          <w:rFonts w:cs="Times New Roman"/>
          <w:szCs w:val="24"/>
        </w:rPr>
        <w:t xml:space="preserve"> </w:t>
      </w:r>
    </w:p>
    <w:p w:rsidR="00954BA9" w:rsidRPr="00954BA9" w:rsidRDefault="00954BA9" w:rsidP="00954BA9">
      <w:pPr>
        <w:rPr>
          <w:rStyle w:val="Typewriter"/>
          <w:rFonts w:ascii="Times New Roman" w:hAnsi="Times New Roman" w:cs="Times New Roman"/>
          <w:sz w:val="24"/>
          <w:szCs w:val="24"/>
        </w:rPr>
      </w:pPr>
      <w:r w:rsidRPr="00954BA9">
        <w:rPr>
          <w:rFonts w:cs="Times New Roman"/>
          <w:szCs w:val="24"/>
        </w:rPr>
        <w:t>Peticijų įstatymo 2 straipsnio 4 dalyje yra nustatyta, kad peticija – rašytinis arba elektroninis pareiškėjo kreipimasis į Seimą, Vyriausybę ar savivaldybės</w:t>
      </w:r>
      <w:r w:rsidRPr="00954BA9">
        <w:rPr>
          <w:rFonts w:cs="Times New Roman"/>
          <w:b/>
          <w:szCs w:val="24"/>
        </w:rPr>
        <w:t xml:space="preserve"> </w:t>
      </w:r>
      <w:r w:rsidRPr="00954BA9">
        <w:rPr>
          <w:rFonts w:cs="Times New Roman"/>
          <w:szCs w:val="24"/>
        </w:rPr>
        <w:t>institucijas su reikalavimais ar siūlymais spręsti klausimus, kai tam reikia priimti naują teisės aktą, pakeisti, papildyti ar pripažinti netekusiu galios galiojantį teisės aktą ir kai peticijų komisijos tokį kreipimąsi pripažįsta peticija.</w:t>
      </w:r>
    </w:p>
    <w:p w:rsidR="00954BA9" w:rsidRPr="00954BA9" w:rsidRDefault="00954BA9" w:rsidP="00954BA9">
      <w:pPr>
        <w:rPr>
          <w:rFonts w:cs="Times New Roman"/>
          <w:szCs w:val="24"/>
        </w:rPr>
      </w:pPr>
      <w:r w:rsidRPr="00954BA9">
        <w:rPr>
          <w:rFonts w:cs="Times New Roman"/>
          <w:szCs w:val="24"/>
        </w:rPr>
        <w:t>Peticijų įstatymo 4 straipsnio 1 dalyje yra nustatyta, kad kreipimesi turi būti nurodyta: pareiškėjo vardas, pavardė, gyvenamoji vieta, asmens kodas; institucija, kuriai</w:t>
      </w:r>
      <w:r w:rsidRPr="004D7E5E">
        <w:rPr>
          <w:szCs w:val="24"/>
        </w:rPr>
        <w:t xml:space="preserve"> paduodamas kreipimasis</w:t>
      </w:r>
      <w:r w:rsidRPr="00954BA9">
        <w:rPr>
          <w:rFonts w:cs="Times New Roman"/>
          <w:szCs w:val="24"/>
        </w:rPr>
        <w:t>; prašymas pripažinti kreipimąsi peticija,</w:t>
      </w:r>
      <w:r w:rsidRPr="00954BA9">
        <w:rPr>
          <w:rFonts w:cs="Times New Roman"/>
          <w:b/>
          <w:szCs w:val="24"/>
        </w:rPr>
        <w:t xml:space="preserve"> </w:t>
      </w:r>
      <w:r w:rsidRPr="00954BA9">
        <w:rPr>
          <w:rFonts w:cs="Times New Roman"/>
          <w:szCs w:val="24"/>
        </w:rPr>
        <w:t xml:space="preserve">kreipimosi padavimo priežastys ir tikslai; pareiškėjo reikalavimai ir siūlymai. </w:t>
      </w:r>
      <w:r w:rsidRPr="00954BA9">
        <w:rPr>
          <w:rStyle w:val="Typewriter"/>
          <w:rFonts w:ascii="Times New Roman" w:hAnsi="Times New Roman" w:cs="Times New Roman"/>
          <w:sz w:val="24"/>
          <w:szCs w:val="24"/>
        </w:rPr>
        <w:t xml:space="preserve">Kiekvienas kreipimasis turi būti pareiškėjo pasirašytas. Tais atvejais, kai pareiškėjas dėl fizinių trūkumų pats negali pasirašyti, kreipimąsi už pareiškėją pasirašo </w:t>
      </w:r>
      <w:r w:rsidRPr="00954BA9">
        <w:rPr>
          <w:rStyle w:val="Typewriter"/>
          <w:rFonts w:ascii="Times New Roman" w:hAnsi="Times New Roman" w:cs="Times New Roman"/>
          <w:sz w:val="24"/>
          <w:szCs w:val="24"/>
        </w:rPr>
        <w:lastRenderedPageBreak/>
        <w:t>kitas asmuo, nurodydamas savo vardą, pavardę, gyvenamąją vietą, asmens kodą. Kreipimasis, pateiktas elektroniniu būdu, privalo būti pasirašytas elektroniniu parašu. Prie kreipimosi gali būti pridėti įvairūs dokumentai ar jų kopijos, siūlomo teisės akto projektas ir kita medžiaga.</w:t>
      </w:r>
    </w:p>
    <w:p w:rsidR="00954BA9" w:rsidRPr="00954BA9" w:rsidRDefault="00954BA9" w:rsidP="00954BA9">
      <w:pPr>
        <w:autoSpaceDE w:val="0"/>
        <w:autoSpaceDN w:val="0"/>
        <w:adjustRightInd w:val="0"/>
        <w:rPr>
          <w:rFonts w:cs="Times New Roman"/>
          <w:szCs w:val="24"/>
        </w:rPr>
      </w:pPr>
      <w:r w:rsidRPr="00954BA9">
        <w:rPr>
          <w:rFonts w:cs="Times New Roman"/>
          <w:szCs w:val="24"/>
          <w:lang w:eastAsia="lt-LT"/>
        </w:rPr>
        <w:t>Taigi kreipimąsi reikia parašyti ir pateikti pagal Peticijų įstatyme nustatytus formos ir turinio reikalavimus, t. y.</w:t>
      </w:r>
      <w:r w:rsidRPr="00954BA9">
        <w:rPr>
          <w:rFonts w:cs="Times New Roman"/>
          <w:szCs w:val="24"/>
        </w:rPr>
        <w:t xml:space="preserve"> </w:t>
      </w:r>
      <w:r w:rsidRPr="00954BA9">
        <w:rPr>
          <w:rFonts w:cs="Times New Roman"/>
          <w:szCs w:val="24"/>
          <w:lang w:eastAsia="lt-LT"/>
        </w:rPr>
        <w:t xml:space="preserve">kreipimasis turi būti adresuotas Seimo Peticijų komisijai, jis turi būti pareiškėjo arba jų atstovo pasirašytas. Kai kreipimąsi pasirašo pareiškėjų atstovas, turi būti nurodyta pareiškėjų </w:t>
      </w:r>
      <w:r w:rsidRPr="00954BA9">
        <w:rPr>
          <w:rFonts w:cs="Times New Roman"/>
          <w:szCs w:val="24"/>
        </w:rPr>
        <w:t xml:space="preserve">atstovo vardas, pavardė, asmens kodas, gyvenamoji vieta. Kreipimesi turi būti aiškiai išdėstyti pasiūlymai ar reikalavimai, kurių tenkinimui reikėtų priimti naują teisės aktą, pakeisti, papildyti ar pripažinti netekusiu galios galiojantį teisės aktą. </w:t>
      </w:r>
    </w:p>
    <w:p w:rsidR="00954BA9" w:rsidRPr="00954BA9" w:rsidRDefault="00954BA9" w:rsidP="00954BA9">
      <w:pPr>
        <w:autoSpaceDE w:val="0"/>
        <w:autoSpaceDN w:val="0"/>
        <w:adjustRightInd w:val="0"/>
        <w:rPr>
          <w:rFonts w:cs="Times New Roman"/>
          <w:szCs w:val="24"/>
        </w:rPr>
      </w:pPr>
      <w:r>
        <w:rPr>
          <w:rFonts w:cs="Times New Roman"/>
          <w:szCs w:val="24"/>
        </w:rPr>
        <w:t>Pareiškėjai reikalauja</w:t>
      </w:r>
      <w:r w:rsidRPr="00954BA9">
        <w:rPr>
          <w:rFonts w:cs="Times New Roman"/>
          <w:szCs w:val="24"/>
        </w:rPr>
        <w:t>:</w:t>
      </w:r>
    </w:p>
    <w:p w:rsidR="00954BA9" w:rsidRPr="00954BA9" w:rsidRDefault="00954BA9" w:rsidP="00954BA9">
      <w:pPr>
        <w:autoSpaceDE w:val="0"/>
        <w:autoSpaceDN w:val="0"/>
        <w:adjustRightInd w:val="0"/>
        <w:rPr>
          <w:rFonts w:eastAsia="TimesNewRomanPSMT" w:cs="Times New Roman"/>
          <w:szCs w:val="24"/>
          <w:lang w:eastAsia="lt-LT"/>
        </w:rPr>
      </w:pPr>
      <w:r>
        <w:rPr>
          <w:rFonts w:cs="Times New Roman"/>
          <w:szCs w:val="24"/>
        </w:rPr>
        <w:t>„</w:t>
      </w:r>
      <w:r w:rsidRPr="00954BA9">
        <w:rPr>
          <w:rFonts w:cs="Times New Roman"/>
          <w:szCs w:val="24"/>
        </w:rPr>
        <w:t>1. N</w:t>
      </w:r>
      <w:r w:rsidRPr="00954BA9">
        <w:rPr>
          <w:rFonts w:eastAsia="TimesNewRomanPSMT" w:cs="Times New Roman"/>
          <w:szCs w:val="24"/>
          <w:lang w:eastAsia="lt-LT"/>
        </w:rPr>
        <w:t>edelsiant sustabdyti 2015.06.23 įstatymo Nr. XII-1818 vykdymą bei pakeisti šį įstatymą taip, kad šiuo įstatymu nebūtų pažeidžiama Lietuvos Respublikos Konstitucija, teisėtų lūkesčių principas bei progresyvaus bausmių atlikimo principas.</w:t>
      </w:r>
    </w:p>
    <w:p w:rsidR="00954BA9" w:rsidRPr="0007096B" w:rsidRDefault="00954BA9" w:rsidP="00954BA9">
      <w:pPr>
        <w:autoSpaceDE w:val="0"/>
        <w:autoSpaceDN w:val="0"/>
        <w:adjustRightInd w:val="0"/>
        <w:rPr>
          <w:rFonts w:eastAsia="TimesNewRomanPSMT"/>
          <w:szCs w:val="24"/>
          <w:lang w:eastAsia="lt-LT"/>
        </w:rPr>
      </w:pPr>
      <w:r w:rsidRPr="00954BA9">
        <w:rPr>
          <w:rFonts w:eastAsia="TimesNewRomanPSMT" w:cs="Times New Roman"/>
          <w:szCs w:val="24"/>
          <w:lang w:eastAsia="lt-LT"/>
        </w:rPr>
        <w:t xml:space="preserve">2. Reglamentuoti šio bei ankstesnių </w:t>
      </w:r>
      <w:r w:rsidR="00310FCB">
        <w:rPr>
          <w:rFonts w:eastAsia="TimesNewRomanPSMT" w:cs="Times New Roman"/>
          <w:szCs w:val="24"/>
          <w:lang w:eastAsia="lt-LT"/>
        </w:rPr>
        <w:t>Bausmių vykdymo k</w:t>
      </w:r>
      <w:r w:rsidRPr="00954BA9">
        <w:rPr>
          <w:rFonts w:eastAsia="TimesNewRomanPSMT" w:cs="Times New Roman"/>
          <w:szCs w:val="24"/>
          <w:lang w:eastAsia="lt-LT"/>
        </w:rPr>
        <w:t>odekso pakeitimų vykdymą taip, kad nebūtų pažeidžiamas</w:t>
      </w:r>
      <w:r w:rsidRPr="0007096B">
        <w:rPr>
          <w:rFonts w:eastAsia="TimesNewRomanPSMT"/>
          <w:szCs w:val="24"/>
          <w:lang w:eastAsia="lt-LT"/>
        </w:rPr>
        <w:t xml:space="preserve"> bendrasis teisės principas </w:t>
      </w:r>
      <w:proofErr w:type="spellStart"/>
      <w:r w:rsidRPr="0007096B">
        <w:rPr>
          <w:rFonts w:eastAsia="TimesNewRomanPS-ItalicMT"/>
          <w:i/>
          <w:iCs/>
          <w:szCs w:val="24"/>
          <w:lang w:eastAsia="lt-LT"/>
        </w:rPr>
        <w:t>lex</w:t>
      </w:r>
      <w:proofErr w:type="spellEnd"/>
      <w:r w:rsidRPr="0007096B">
        <w:rPr>
          <w:rFonts w:eastAsia="TimesNewRomanPS-ItalicMT"/>
          <w:i/>
          <w:iCs/>
          <w:szCs w:val="24"/>
          <w:lang w:eastAsia="lt-LT"/>
        </w:rPr>
        <w:t xml:space="preserve"> retro </w:t>
      </w:r>
      <w:proofErr w:type="spellStart"/>
      <w:r w:rsidRPr="0007096B">
        <w:rPr>
          <w:rFonts w:eastAsia="TimesNewRomanPS-ItalicMT"/>
          <w:i/>
          <w:iCs/>
          <w:szCs w:val="24"/>
          <w:lang w:eastAsia="lt-LT"/>
        </w:rPr>
        <w:t>non</w:t>
      </w:r>
      <w:proofErr w:type="spellEnd"/>
      <w:r w:rsidRPr="0007096B">
        <w:rPr>
          <w:rFonts w:eastAsia="TimesNewRomanPS-ItalicMT"/>
          <w:i/>
          <w:iCs/>
          <w:szCs w:val="24"/>
          <w:lang w:eastAsia="lt-LT"/>
        </w:rPr>
        <w:t xml:space="preserve"> </w:t>
      </w:r>
      <w:proofErr w:type="spellStart"/>
      <w:r w:rsidRPr="0007096B">
        <w:rPr>
          <w:rFonts w:eastAsia="TimesNewRomanPS-ItalicMT"/>
          <w:i/>
          <w:iCs/>
          <w:szCs w:val="24"/>
          <w:lang w:eastAsia="lt-LT"/>
        </w:rPr>
        <w:t>agit</w:t>
      </w:r>
      <w:proofErr w:type="spellEnd"/>
      <w:r w:rsidRPr="0007096B">
        <w:rPr>
          <w:rFonts w:eastAsia="TimesNewRomanPSMT"/>
          <w:szCs w:val="24"/>
          <w:lang w:eastAsia="lt-LT"/>
        </w:rPr>
        <w:t>, teisėtų lūkesčių</w:t>
      </w:r>
      <w:r>
        <w:rPr>
          <w:rFonts w:eastAsia="TimesNewRomanPSMT"/>
          <w:szCs w:val="24"/>
          <w:lang w:eastAsia="lt-LT"/>
        </w:rPr>
        <w:t xml:space="preserve"> principas b</w:t>
      </w:r>
      <w:r w:rsidRPr="0007096B">
        <w:rPr>
          <w:rFonts w:eastAsia="TimesNewRomanPSMT"/>
          <w:szCs w:val="24"/>
          <w:lang w:eastAsia="lt-LT"/>
        </w:rPr>
        <w:t>ei progresyvaus</w:t>
      </w:r>
      <w:r>
        <w:rPr>
          <w:rFonts w:eastAsia="TimesNewRomanPSMT"/>
          <w:szCs w:val="24"/>
          <w:lang w:eastAsia="lt-LT"/>
        </w:rPr>
        <w:t xml:space="preserve"> </w:t>
      </w:r>
      <w:r w:rsidRPr="0007096B">
        <w:rPr>
          <w:rFonts w:eastAsia="TimesNewRomanPSMT"/>
          <w:szCs w:val="24"/>
          <w:lang w:eastAsia="lt-LT"/>
        </w:rPr>
        <w:t>bausmių</w:t>
      </w:r>
      <w:r>
        <w:rPr>
          <w:rFonts w:eastAsia="TimesNewRomanPSMT"/>
          <w:szCs w:val="24"/>
          <w:lang w:eastAsia="lt-LT"/>
        </w:rPr>
        <w:t xml:space="preserve"> atlikimo principas.“</w:t>
      </w:r>
    </w:p>
    <w:p w:rsidR="00954BA9" w:rsidRPr="0007096B" w:rsidRDefault="00954BA9" w:rsidP="00954BA9">
      <w:pPr>
        <w:rPr>
          <w:szCs w:val="24"/>
        </w:rPr>
      </w:pPr>
      <w:r>
        <w:rPr>
          <w:rFonts w:eastAsia="TimesNewRomanPSMT"/>
          <w:szCs w:val="24"/>
          <w:lang w:eastAsia="lt-LT"/>
        </w:rPr>
        <w:t>Tokie reikalavimai yra neaiškūs ir nekonkretūs. Be to, Peticijų įstatymas nesuteikia teisės Komisijai nagrinėti klausimus dėl Lietuvos Respublikos priimtų įstatymų vykdymo</w:t>
      </w:r>
      <w:r w:rsidRPr="00D92815">
        <w:rPr>
          <w:rFonts w:eastAsia="TimesNewRomanPSMT"/>
          <w:szCs w:val="24"/>
          <w:lang w:eastAsia="lt-LT"/>
        </w:rPr>
        <w:t xml:space="preserve"> </w:t>
      </w:r>
      <w:r>
        <w:rPr>
          <w:rFonts w:eastAsia="TimesNewRomanPSMT"/>
          <w:szCs w:val="24"/>
          <w:lang w:eastAsia="lt-LT"/>
        </w:rPr>
        <w:t>sustabdymo ir dėl įstatymų vykdymo</w:t>
      </w:r>
      <w:r w:rsidRPr="00D92815">
        <w:rPr>
          <w:rFonts w:eastAsia="TimesNewRomanPSMT"/>
          <w:szCs w:val="24"/>
          <w:lang w:eastAsia="lt-LT"/>
        </w:rPr>
        <w:t xml:space="preserve"> </w:t>
      </w:r>
      <w:r>
        <w:rPr>
          <w:rFonts w:eastAsia="TimesNewRomanPSMT"/>
          <w:szCs w:val="24"/>
          <w:lang w:eastAsia="lt-LT"/>
        </w:rPr>
        <w:t xml:space="preserve">reglamentavimo. </w:t>
      </w:r>
    </w:p>
    <w:p w:rsidR="00452D2B" w:rsidRDefault="00954BA9" w:rsidP="00452D2B">
      <w:pPr>
        <w:rPr>
          <w:szCs w:val="24"/>
        </w:rPr>
      </w:pPr>
      <w:r>
        <w:t>3.</w:t>
      </w:r>
      <w:r w:rsidR="00452D2B" w:rsidRPr="00452D2B">
        <w:rPr>
          <w:szCs w:val="24"/>
        </w:rPr>
        <w:t xml:space="preserve"> </w:t>
      </w:r>
      <w:r w:rsidR="00452D2B">
        <w:rPr>
          <w:szCs w:val="24"/>
        </w:rPr>
        <w:t xml:space="preserve">Dėl Romualdo </w:t>
      </w:r>
      <w:proofErr w:type="spellStart"/>
      <w:r w:rsidR="00452D2B">
        <w:rPr>
          <w:szCs w:val="24"/>
        </w:rPr>
        <w:t>Stralkaus</w:t>
      </w:r>
      <w:proofErr w:type="spellEnd"/>
      <w:r w:rsidR="00452D2B">
        <w:rPr>
          <w:szCs w:val="24"/>
        </w:rPr>
        <w:t xml:space="preserve"> skundo dėl Komisijos 2015 m. rugsėjo 23 d. sprendimo nepripažinti jo kreipimosi peticija. </w:t>
      </w:r>
    </w:p>
    <w:p w:rsidR="00986A60" w:rsidRPr="00986A60" w:rsidRDefault="00986A60" w:rsidP="00986A60">
      <w:pPr>
        <w:rPr>
          <w:rFonts w:cs="Times New Roman"/>
          <w:szCs w:val="24"/>
        </w:rPr>
      </w:pPr>
      <w:r>
        <w:rPr>
          <w:szCs w:val="24"/>
        </w:rPr>
        <w:t xml:space="preserve">Komisija, vadovaudamasi Peticijų įstatymo 10 straipsnio 2 dalimi ir Komisijos nuostatų 32 </w:t>
      </w:r>
      <w:r w:rsidRPr="00986A60">
        <w:rPr>
          <w:rFonts w:cs="Times New Roman"/>
          <w:szCs w:val="24"/>
        </w:rPr>
        <w:t xml:space="preserve">punktu, priėmė sprendimą paprašyti </w:t>
      </w:r>
      <w:r w:rsidR="00310FCB">
        <w:rPr>
          <w:rFonts w:cs="Times New Roman"/>
          <w:szCs w:val="24"/>
        </w:rPr>
        <w:t>pareiškėją</w:t>
      </w:r>
      <w:r w:rsidRPr="00986A60">
        <w:rPr>
          <w:rFonts w:cs="Times New Roman"/>
          <w:szCs w:val="24"/>
        </w:rPr>
        <w:t xml:space="preserve"> iki šių metų lapkričio 13 d. pašalinti skundo trūkumus.</w:t>
      </w:r>
    </w:p>
    <w:p w:rsidR="00986A60" w:rsidRPr="00986A60" w:rsidRDefault="00986A60" w:rsidP="00986A60">
      <w:pPr>
        <w:rPr>
          <w:rStyle w:val="Typewriter"/>
          <w:rFonts w:ascii="Times New Roman" w:hAnsi="Times New Roman" w:cs="Times New Roman"/>
          <w:sz w:val="24"/>
          <w:szCs w:val="24"/>
        </w:rPr>
      </w:pPr>
      <w:r w:rsidRPr="00986A60">
        <w:rPr>
          <w:rFonts w:cs="Times New Roman"/>
          <w:szCs w:val="24"/>
        </w:rPr>
        <w:t xml:space="preserve">Peticijų įstatymo 10 straipsnio 1 ir 2 dalyse yra nustatyta, kad </w:t>
      </w:r>
      <w:r w:rsidRPr="00986A60">
        <w:rPr>
          <w:rStyle w:val="Typewriter"/>
          <w:rFonts w:ascii="Times New Roman" w:hAnsi="Times New Roman" w:cs="Times New Roman"/>
          <w:sz w:val="24"/>
          <w:szCs w:val="24"/>
        </w:rPr>
        <w:t xml:space="preserve">pareiškėjas ne vėliau kaip per 1 mėnesį nuo pranešimo apie sprendimą nepripažinti kreipimosi peticija ar atsisakyti priimti peticiją nagrinėti gavimo dienos gali apskųsti Seimui Komisijos sprendimą, tačiau </w:t>
      </w:r>
      <w:r w:rsidRPr="00986A60">
        <w:rPr>
          <w:rFonts w:cs="Times New Roman"/>
          <w:szCs w:val="24"/>
        </w:rPr>
        <w:t>s</w:t>
      </w:r>
      <w:r w:rsidRPr="00986A60">
        <w:rPr>
          <w:rStyle w:val="Typewriter"/>
          <w:rFonts w:ascii="Times New Roman" w:hAnsi="Times New Roman" w:cs="Times New Roman"/>
          <w:sz w:val="24"/>
          <w:szCs w:val="24"/>
        </w:rPr>
        <w:t>kunde turi būti nurodytos aplinkybės, pagrindžiančios Komisijos sprendimo neteisėtumą ar</w:t>
      </w:r>
      <w:r w:rsidRPr="00986A60">
        <w:rPr>
          <w:rStyle w:val="Typewriter"/>
          <w:rFonts w:ascii="Times New Roman" w:hAnsi="Times New Roman" w:cs="Times New Roman"/>
          <w:b/>
          <w:sz w:val="24"/>
          <w:szCs w:val="24"/>
        </w:rPr>
        <w:t xml:space="preserve"> </w:t>
      </w:r>
      <w:r w:rsidRPr="00986A60">
        <w:rPr>
          <w:rStyle w:val="Typewriter"/>
          <w:rFonts w:ascii="Times New Roman" w:hAnsi="Times New Roman" w:cs="Times New Roman"/>
          <w:sz w:val="24"/>
          <w:szCs w:val="24"/>
        </w:rPr>
        <w:t>nepagrįstumą.</w:t>
      </w:r>
    </w:p>
    <w:p w:rsidR="00986A60" w:rsidRPr="00986A60" w:rsidRDefault="00986A60" w:rsidP="00986A60">
      <w:pPr>
        <w:rPr>
          <w:rStyle w:val="Typewriter"/>
          <w:rFonts w:ascii="Times New Roman" w:hAnsi="Times New Roman" w:cs="Times New Roman"/>
          <w:sz w:val="24"/>
          <w:szCs w:val="24"/>
        </w:rPr>
      </w:pPr>
      <w:r w:rsidRPr="00986A60">
        <w:rPr>
          <w:rStyle w:val="Typewriter"/>
          <w:rFonts w:ascii="Times New Roman" w:hAnsi="Times New Roman" w:cs="Times New Roman"/>
          <w:sz w:val="24"/>
          <w:szCs w:val="24"/>
        </w:rPr>
        <w:t>Komisijos nuostatų 32 punkte yra nustatyta, kad „</w:t>
      </w:r>
      <w:r w:rsidRPr="00986A60">
        <w:rPr>
          <w:rFonts w:cs="Times New Roman"/>
          <w:szCs w:val="24"/>
        </w:rPr>
        <w:t>Seimui adresuotas skundas perduodamas Komisijos pirmininkui, kuris artimiausiame Komisijos posėdyje supažindina Komisijos narius su skundu. Komisija nusprendžia, ar skundas atitinka Peticijų įstatymo 10 straipsnio 2 dalyje nustatytus reikalavimus skundui. Jeigu skundas neatitinka Peticijų įstatymo 10 straipsnio 2 dalyje nustatytų reikalavimų, Komisija nustato terminą trūkumams pašalinti ir praneša apie tai pareiškėjui ar jo atstovui. Pareiškėjui ar jo atstovui per nustatytą terminą neištaisius trūkumų, laikoma, kad skundas yra nepaduotas.“</w:t>
      </w:r>
    </w:p>
    <w:p w:rsidR="00986A60" w:rsidRPr="00986A60" w:rsidRDefault="00986A60" w:rsidP="00986A60">
      <w:pPr>
        <w:rPr>
          <w:rFonts w:cs="Times New Roman"/>
          <w:color w:val="000000"/>
          <w:szCs w:val="24"/>
          <w:lang w:eastAsia="lt-LT"/>
        </w:rPr>
      </w:pPr>
      <w:r w:rsidRPr="00986A60">
        <w:rPr>
          <w:rFonts w:cs="Times New Roman"/>
          <w:szCs w:val="24"/>
        </w:rPr>
        <w:lastRenderedPageBreak/>
        <w:t xml:space="preserve">Komisija 2015 m. rugsėjo 24 d. raštu Nr. 5573 informavo </w:t>
      </w:r>
      <w:r>
        <w:rPr>
          <w:rFonts w:cs="Times New Roman"/>
          <w:szCs w:val="24"/>
        </w:rPr>
        <w:t>pareiškėją</w:t>
      </w:r>
      <w:r w:rsidRPr="00986A60">
        <w:rPr>
          <w:rFonts w:cs="Times New Roman"/>
          <w:szCs w:val="24"/>
        </w:rPr>
        <w:t xml:space="preserve">, kad šių metų rugsėjo 23 d. Komisija, vadovaudamasi Peticijų įstatymo 9 straipsnio 3 dalies 2 punktu, priėmė sprendimą </w:t>
      </w:r>
      <w:r>
        <w:rPr>
          <w:rFonts w:cs="Times New Roman"/>
          <w:szCs w:val="24"/>
        </w:rPr>
        <w:t>jo</w:t>
      </w:r>
      <w:r w:rsidRPr="00986A60">
        <w:rPr>
          <w:rFonts w:cs="Times New Roman"/>
          <w:szCs w:val="24"/>
        </w:rPr>
        <w:t xml:space="preserve"> kreipimosi „Dėl Lietuvos Respublikos baudžiamojo proceso kodekso pakeitimo“ nepripažinti peticija, nes Peticijų įstatymo 9 straipsnio 3 dalies 2 punkte yra nustatyta, kad kreipimasis nepripažįstamas peticija, jei</w:t>
      </w:r>
      <w:r w:rsidRPr="00986A60">
        <w:rPr>
          <w:rStyle w:val="Typewriter"/>
          <w:rFonts w:ascii="Times New Roman" w:hAnsi="Times New Roman" w:cs="Times New Roman"/>
          <w:sz w:val="24"/>
          <w:szCs w:val="24"/>
        </w:rPr>
        <w:t xml:space="preserve"> iškeltų reikalavimų ir siūlymų tenkinimui nereikia priimti naujo teisės akto, pakeisti, papildyti ar pripažinti netekusiu galios galiojančio teisės akto: </w:t>
      </w:r>
      <w:r w:rsidRPr="00986A60">
        <w:rPr>
          <w:rFonts w:cs="Times New Roman"/>
          <w:szCs w:val="24"/>
        </w:rPr>
        <w:t xml:space="preserve">Baudžiamojo proceso kodekse (toliau BPK) jau yra ši nuostata – jo 7 straipsnio 2 dalyje yra nustatyta, kad </w:t>
      </w:r>
      <w:r w:rsidRPr="00986A60">
        <w:rPr>
          <w:rFonts w:cs="Times New Roman"/>
          <w:szCs w:val="24"/>
          <w:lang w:eastAsia="lt-LT"/>
        </w:rPr>
        <w:t xml:space="preserve">kaltinimo ir gynybos šalys bylų nagrinėjimo teisme metu turi lygias teises teikti įrodymus, dalyvauti tiriant įrodymus, pateikti prašymus, ginčyti kitos šalies argumentus ir pareikšti savo nuomonę visais klausimais, kylančiais nagrinėjant bylą ir turinčiais reikšmės jos teisingam išsprendimui. </w:t>
      </w:r>
      <w:r w:rsidRPr="00986A60">
        <w:rPr>
          <w:rFonts w:cs="Times New Roman"/>
          <w:color w:val="000000"/>
          <w:szCs w:val="24"/>
          <w:lang w:eastAsia="lt-LT"/>
        </w:rPr>
        <w:t xml:space="preserve">BPK181 straipsnyje nurodyta, kad įtariamasis ir jo gynėjas, nukentėjusysis ir jo atstovas ikiteisminio tyrimo metu bet kuriuo momentu turi teisę susipažinti su ikiteisminio tyrimo duomenimis, išskyrus proceso dalyvių asmens duomenis, saugomus atskirai nuo kitos ikiteisminio tyrimo medžiagos, taip pat susipažinimo metu daryti ikiteisminio tyrimo medžiagos kopijas ar išrašus. </w:t>
      </w:r>
    </w:p>
    <w:p w:rsidR="00986A60" w:rsidRPr="00986A60" w:rsidRDefault="00986A60" w:rsidP="00986A60">
      <w:pPr>
        <w:rPr>
          <w:rFonts w:cs="Times New Roman"/>
          <w:szCs w:val="24"/>
        </w:rPr>
      </w:pPr>
      <w:r>
        <w:rPr>
          <w:rFonts w:cs="Times New Roman"/>
          <w:color w:val="000000"/>
          <w:szCs w:val="24"/>
          <w:lang w:eastAsia="lt-LT"/>
        </w:rPr>
        <w:t>Pareiškėjas</w:t>
      </w:r>
      <w:r w:rsidRPr="00986A60">
        <w:rPr>
          <w:rFonts w:cs="Times New Roman"/>
          <w:color w:val="000000"/>
          <w:szCs w:val="24"/>
          <w:lang w:eastAsia="lt-LT"/>
        </w:rPr>
        <w:t xml:space="preserve"> savo skunde</w:t>
      </w:r>
      <w:r w:rsidRPr="00986A60">
        <w:rPr>
          <w:rFonts w:cs="Times New Roman"/>
          <w:szCs w:val="24"/>
        </w:rPr>
        <w:t xml:space="preserve"> </w:t>
      </w:r>
      <w:r>
        <w:rPr>
          <w:rFonts w:cs="Times New Roman"/>
          <w:szCs w:val="24"/>
        </w:rPr>
        <w:t>rašo</w:t>
      </w:r>
      <w:r w:rsidRPr="00986A60">
        <w:rPr>
          <w:rFonts w:cs="Times New Roman"/>
          <w:szCs w:val="24"/>
        </w:rPr>
        <w:t>, kad „Baudžiamojo proceso kodekso nuostatos yra per siauros, o be to, prokuroras gynėjo gali neprileisti prie ikiteisminio tyrimo medžiagos, gynyba nežino, kokiais duomenimis sprendžiamas įtarimas ir ar tie duomenys tikri, ar juose esančias aplinkybes reikia patikrinti savalaikiai, o ne teisme“.</w:t>
      </w:r>
    </w:p>
    <w:p w:rsidR="00986A60" w:rsidRPr="00986A60" w:rsidRDefault="00986A60" w:rsidP="00986A60">
      <w:pPr>
        <w:rPr>
          <w:rFonts w:cs="Times New Roman"/>
          <w:color w:val="000000"/>
          <w:szCs w:val="24"/>
          <w:lang w:eastAsia="lt-LT"/>
        </w:rPr>
      </w:pPr>
      <w:r w:rsidRPr="00986A60">
        <w:rPr>
          <w:rFonts w:cs="Times New Roman"/>
          <w:color w:val="000000"/>
          <w:szCs w:val="24"/>
          <w:lang w:eastAsia="lt-LT"/>
        </w:rPr>
        <w:t xml:space="preserve">Tačiau šie </w:t>
      </w:r>
      <w:r w:rsidR="00310FCB">
        <w:rPr>
          <w:rFonts w:cs="Times New Roman"/>
          <w:color w:val="000000"/>
          <w:szCs w:val="24"/>
          <w:lang w:eastAsia="lt-LT"/>
        </w:rPr>
        <w:t>pareiškėjo</w:t>
      </w:r>
      <w:r w:rsidRPr="00986A60">
        <w:rPr>
          <w:rFonts w:cs="Times New Roman"/>
          <w:color w:val="000000"/>
          <w:szCs w:val="24"/>
          <w:lang w:eastAsia="lt-LT"/>
        </w:rPr>
        <w:t xml:space="preserve"> argumentai yra nepagrįsti: BPK 181 straipsnyje nurodyta, kad įtariamasis ir jo gynėjas, nukentėjusysis ir jo atstovas ikiteisminio tyrimo metu bet kuriuo momentu turi teisę susipažinti su ikiteisminio tyrimo duomenimis, išskyrus proceso dalyvių asmens duomenis, saugomus atskirai nuo kitos ikiteisminio tyrimo medžiagos, taip pat susipažinimo metu daryti ikiteisminio tyrimo medžiagos kopijas ar išrašus. Rašytinis prašymas susipažinti su ikiteisminio tyrimo medžiaga ar susipažinimo metu daryti ikiteisminio tyrimo medžiagos kopijas ar išrašus pateikiamas prokurorui. Prokuroras privalo išnagrinėti prašymą ne vėliau kaip per septynias dienas nuo jo gavimo dienos, o kai prašymui išnagrinėti reikalinga ikiteisminio tyrimo medžiaga, – per septynias dienas nuo šios medžiagos gavimo. Prokuroras turi teisę neleisti susipažinti su visais ikiteisminio tyrimo duomenimis ar jų dalimi, taip pat neleisti daryti ikiteisminio tyrimo medžiagos kopijas ar išrašus, jei toks susipažinimas, prokuroro manymu, galėtų pakenkti ikiteisminio tyrimo sėkmei. Atsisakydamas leisti susipažinti su visais ikiteisminio tyrimo duomenimis ar jų dalimi, taip pat atsisakydamas leisti daryti ikiteisminio tyrimo medžiagos kopijas ar išrašus, prokuroras privalo surašyti motyvuotą nutarimą. Šis nutarimas per septynias dienas nuo jo nuorašo gavimo dienos gali būti apskųstas ikiteisminio tyrimo teisėjui. Ikiteisminio tyrimo teisėjas privalo tokį skundą išnagrinėti per septynias dienas nuo jo gavimo ir priimti nutartį. Ikiteisminio tyrimo teisėjo priimta nutartis neskundžiama.</w:t>
      </w:r>
    </w:p>
    <w:p w:rsidR="00986A60" w:rsidRPr="00986A60" w:rsidRDefault="00986A60" w:rsidP="00986A60">
      <w:pPr>
        <w:rPr>
          <w:rFonts w:cs="Times New Roman"/>
          <w:color w:val="000000"/>
          <w:szCs w:val="24"/>
          <w:lang w:eastAsia="lt-LT"/>
        </w:rPr>
      </w:pPr>
      <w:r w:rsidRPr="00986A60">
        <w:rPr>
          <w:rFonts w:cs="Times New Roman"/>
          <w:color w:val="000000"/>
          <w:szCs w:val="24"/>
          <w:lang w:eastAsia="lt-LT"/>
        </w:rPr>
        <w:lastRenderedPageBreak/>
        <w:t>Prokuroras neturi teisės neleisti susipažinti su visais ikiteisminio tyrimo duomenimis ar daryti ikiteisminio tyrimo medžiagos kopijas ar išrašus, jei ikiteisminis tyrimas baigtas ir yra rašomas kaltinamasis aktas. Susipažinimo su ikiteisminio tyrimo medžiaga metu proceso dalyviai turi teisę šio straipsnio 1 ir 6 dalyse nustatyta tvarka daryti ikiteisminio tyrimo medžiagos kopijas ar išrašus. Prokuroras taip pat neturi teisės neleisti įtariamajam ir jo gynėjui bet kuriuo ikiteisminio tyrimo metu susipažinti su prokuroro pateikta medžiaga, kuri yra ar buvo teikiama teismui prašant skirti ar pratęsti kardomąją priemonę, dėl kurios skyrimo sprendžia ikiteisminio tyrimo teisėjas ar teismas, ar daryti šios medžiagos dalies kopijas ar išrašus šio straipsnio 1 ir 6 dalyse nustatyta tvarka.</w:t>
      </w:r>
    </w:p>
    <w:p w:rsidR="00986A60" w:rsidRPr="00986A60" w:rsidRDefault="00986A60" w:rsidP="00986A60">
      <w:pPr>
        <w:rPr>
          <w:rFonts w:cs="Times New Roman"/>
          <w:color w:val="000000"/>
          <w:szCs w:val="24"/>
          <w:lang w:eastAsia="lt-LT"/>
        </w:rPr>
      </w:pPr>
      <w:r w:rsidRPr="00986A60">
        <w:rPr>
          <w:rFonts w:cs="Times New Roman"/>
          <w:color w:val="000000"/>
          <w:szCs w:val="24"/>
          <w:lang w:eastAsia="lt-LT"/>
        </w:rPr>
        <w:t xml:space="preserve">Jeigu įtariamasis yra suimtas, teisę susipažinti su ikiteisminio tyrimo duomenimis ir teisę daryti ikiteisminio tyrimo medžiagos kopijas ar išrašus turi jo gynėjas, o atsisakius gynėjo – įtariamasis. </w:t>
      </w:r>
    </w:p>
    <w:p w:rsidR="00986A60" w:rsidRPr="00986A60" w:rsidRDefault="00986A60" w:rsidP="00986A60">
      <w:pPr>
        <w:rPr>
          <w:rFonts w:cs="Times New Roman"/>
          <w:color w:val="000000"/>
          <w:szCs w:val="24"/>
          <w:lang w:eastAsia="lt-LT"/>
        </w:rPr>
      </w:pPr>
      <w:r w:rsidRPr="00986A60">
        <w:rPr>
          <w:rFonts w:cs="Times New Roman"/>
          <w:color w:val="000000"/>
          <w:szCs w:val="24"/>
          <w:lang w:eastAsia="lt-LT"/>
        </w:rPr>
        <w:t>Jeigu įtariamasis – užsienio valstybės pilietis yra ne Lietuvos Respublikos teritorijoje, teisę susipažinti su ikiteisminio tyrimo dėl nusikaltimo, už kurį numatyta atsakomybė Lietuvos Respublikos tarptautinių sutarčių ir Baudžiamojo kodekso 7 straipsnio pagrindais, duomenimis ir teisę daryti ikiteisminio tyrimo medžiagos kopijas ar išrašus turi jo gynėjas.</w:t>
      </w:r>
    </w:p>
    <w:p w:rsidR="00986A60" w:rsidRPr="00986A60" w:rsidRDefault="00986A60" w:rsidP="00986A60">
      <w:pPr>
        <w:rPr>
          <w:rFonts w:cs="Times New Roman"/>
          <w:color w:val="000000"/>
          <w:szCs w:val="24"/>
          <w:lang w:eastAsia="lt-LT"/>
        </w:rPr>
      </w:pPr>
      <w:r w:rsidRPr="00986A60">
        <w:rPr>
          <w:rFonts w:cs="Times New Roman"/>
          <w:color w:val="000000"/>
          <w:szCs w:val="24"/>
          <w:lang w:eastAsia="lt-LT"/>
        </w:rPr>
        <w:t>Turintys teisę paduoti skundą dėl sprendimo nutraukti ikiteisminį tyrimą asmenys, nurodyti šio Kodekso 214 straipsnio 3 dalyje, turi teisę šio straipsnio 1 ir 6 dalyse nustatyta tvarka susipažinti su visa nutraukto ikiteisminio tyrimo medžiaga ar jos dalimi.</w:t>
      </w:r>
    </w:p>
    <w:p w:rsidR="00986A60" w:rsidRPr="00986A60" w:rsidRDefault="00986A60" w:rsidP="00986A60">
      <w:pPr>
        <w:rPr>
          <w:rFonts w:cs="Times New Roman"/>
          <w:color w:val="000000"/>
          <w:szCs w:val="24"/>
          <w:lang w:eastAsia="lt-LT"/>
        </w:rPr>
      </w:pPr>
      <w:r w:rsidRPr="00986A60">
        <w:rPr>
          <w:rFonts w:cs="Times New Roman"/>
          <w:color w:val="000000"/>
          <w:szCs w:val="24"/>
          <w:lang w:eastAsia="lt-LT"/>
        </w:rPr>
        <w:t>Susipažinimo su ikiteisminio tyrimo medžiaga metu draudžiama daryti ikiteisminio tyrimo medžiagos kopijas, kai duomenys yra:</w:t>
      </w:r>
    </w:p>
    <w:p w:rsidR="00986A60" w:rsidRPr="00986A60" w:rsidRDefault="00986A60" w:rsidP="00986A60">
      <w:pPr>
        <w:rPr>
          <w:rFonts w:cs="Times New Roman"/>
          <w:color w:val="000000"/>
          <w:szCs w:val="24"/>
          <w:lang w:eastAsia="lt-LT"/>
        </w:rPr>
      </w:pPr>
      <w:r w:rsidRPr="00986A60">
        <w:rPr>
          <w:rFonts w:cs="Times New Roman"/>
          <w:color w:val="000000"/>
          <w:szCs w:val="24"/>
          <w:lang w:eastAsia="lt-LT"/>
        </w:rPr>
        <w:t>1) apie nepilnamečius įtariamuosius ir nukentėjusiuosius;</w:t>
      </w:r>
    </w:p>
    <w:p w:rsidR="00986A60" w:rsidRPr="00986A60" w:rsidRDefault="00986A60" w:rsidP="00986A60">
      <w:pPr>
        <w:rPr>
          <w:rFonts w:cs="Times New Roman"/>
          <w:color w:val="000000"/>
          <w:szCs w:val="24"/>
          <w:lang w:eastAsia="lt-LT"/>
        </w:rPr>
      </w:pPr>
      <w:r w:rsidRPr="00986A60">
        <w:rPr>
          <w:rFonts w:cs="Times New Roman"/>
          <w:color w:val="000000"/>
          <w:szCs w:val="24"/>
          <w:lang w:eastAsia="lt-LT"/>
        </w:rPr>
        <w:t>2) apie privatų proceso dalyvių gyvenimą;</w:t>
      </w:r>
    </w:p>
    <w:p w:rsidR="00986A60" w:rsidRPr="00986A60" w:rsidRDefault="00986A60" w:rsidP="00986A60">
      <w:pPr>
        <w:rPr>
          <w:rFonts w:cs="Times New Roman"/>
          <w:color w:val="000000"/>
          <w:szCs w:val="24"/>
          <w:lang w:eastAsia="lt-LT"/>
        </w:rPr>
      </w:pPr>
      <w:r w:rsidRPr="00986A60">
        <w:rPr>
          <w:rFonts w:cs="Times New Roman"/>
          <w:color w:val="000000"/>
          <w:szCs w:val="24"/>
          <w:lang w:eastAsia="lt-LT"/>
        </w:rPr>
        <w:t>3) dėl nusikalstamų veikų žmogaus seksualinio apsisprendimo laisvei ir neliečiamumui;</w:t>
      </w:r>
    </w:p>
    <w:p w:rsidR="00986A60" w:rsidRPr="00986A60" w:rsidRDefault="00986A60" w:rsidP="00986A60">
      <w:pPr>
        <w:rPr>
          <w:rFonts w:cs="Times New Roman"/>
          <w:color w:val="000000"/>
          <w:szCs w:val="24"/>
          <w:lang w:eastAsia="lt-LT"/>
        </w:rPr>
      </w:pPr>
      <w:r w:rsidRPr="00986A60">
        <w:rPr>
          <w:rFonts w:cs="Times New Roman"/>
          <w:color w:val="000000"/>
          <w:szCs w:val="24"/>
          <w:lang w:eastAsia="lt-LT"/>
        </w:rPr>
        <w:t>4) užfiksuoti proceso veiksmų protokoluose ir jų prieduose (nuotraukose, negatyvuose, garso, vaizdo įrašuose, skaitmeninės informacijos laikmenose ir kitaip fiksuojant techninių priemonių panaudojimo rezultatus), kai informacija gauta panaudojus kriminalinės žvalgybos informacijos rinkimo būdus ir priemones Lietuvos Respublikos kriminalinės žvalgybos įstatymo ar šio Kodekso 154, 155, 158, 159, 160 straipsniuose nustatyta tvarka“.</w:t>
      </w:r>
    </w:p>
    <w:p w:rsidR="00986A60" w:rsidRPr="00986A60" w:rsidRDefault="00986A60" w:rsidP="00986A60">
      <w:pPr>
        <w:rPr>
          <w:rFonts w:cs="Times New Roman"/>
          <w:color w:val="000000"/>
          <w:szCs w:val="24"/>
        </w:rPr>
      </w:pPr>
      <w:r w:rsidRPr="00986A60">
        <w:rPr>
          <w:rFonts w:cs="Times New Roman"/>
          <w:szCs w:val="24"/>
        </w:rPr>
        <w:t>Taigi Baudžiamojo proceso kodekse yra aiškiai ir labai detaliai išdėstytos kaltinamojo ir gynėjo teisės susipažinti su tyrimo medžiaga.</w:t>
      </w:r>
    </w:p>
    <w:p w:rsidR="00986A60" w:rsidRDefault="00986A60" w:rsidP="00986A60">
      <w:pPr>
        <w:rPr>
          <w:szCs w:val="24"/>
        </w:rPr>
      </w:pPr>
      <w:r>
        <w:rPr>
          <w:color w:val="000000"/>
          <w:szCs w:val="24"/>
        </w:rPr>
        <w:t>Atsižvelgiant į tai, pareiškėjas i</w:t>
      </w:r>
      <w:r>
        <w:rPr>
          <w:szCs w:val="24"/>
        </w:rPr>
        <w:t>ki lapkričio 13 d. turit ištaisyti savo skundo trūkumus ir nurodyti aplinkybes, pagrindžiančias Komisijos sprendimo neteisėtumą ir nepagrįstumą.</w:t>
      </w:r>
      <w:r w:rsidRPr="00D376C0">
        <w:rPr>
          <w:szCs w:val="24"/>
        </w:rPr>
        <w:t xml:space="preserve"> </w:t>
      </w:r>
      <w:r>
        <w:rPr>
          <w:szCs w:val="24"/>
        </w:rPr>
        <w:t>P</w:t>
      </w:r>
      <w:r w:rsidRPr="00E3129C">
        <w:rPr>
          <w:szCs w:val="24"/>
        </w:rPr>
        <w:t>er nustatytą terminą</w:t>
      </w:r>
      <w:r>
        <w:rPr>
          <w:szCs w:val="24"/>
        </w:rPr>
        <w:t xml:space="preserve"> </w:t>
      </w:r>
      <w:r w:rsidRPr="00E3129C">
        <w:rPr>
          <w:szCs w:val="24"/>
        </w:rPr>
        <w:t xml:space="preserve">neištaisius trūkumų, </w:t>
      </w:r>
      <w:r>
        <w:rPr>
          <w:szCs w:val="24"/>
        </w:rPr>
        <w:t xml:space="preserve">bus </w:t>
      </w:r>
      <w:r w:rsidRPr="00E3129C">
        <w:rPr>
          <w:szCs w:val="24"/>
        </w:rPr>
        <w:t>laiko</w:t>
      </w:r>
      <w:r>
        <w:rPr>
          <w:szCs w:val="24"/>
        </w:rPr>
        <w:t>ma, kad skundas yra nepaduotas.</w:t>
      </w:r>
    </w:p>
    <w:p w:rsidR="00986A60" w:rsidRDefault="00986A60" w:rsidP="00986A60">
      <w:pPr>
        <w:pStyle w:val="Pagrindiniotekstotrauka"/>
        <w:spacing w:line="360" w:lineRule="auto"/>
      </w:pPr>
      <w:r>
        <w:lastRenderedPageBreak/>
        <w:t>4. Komisija, vadovaudamasi Lietuvos Respublikos Peticijų įstatymo 2 straipsnio 4 dalimi ir 4 straipsnio 1 dalimi, nusprendė Romualdo Čepulio kreipimosi nenagrinėti Peticijų įstatyme nustatytais pagrindais, nes jis parašytas, nesilaikant Peticijų įstatyme nustatytų formos ir turinio reikalavimų.</w:t>
      </w:r>
    </w:p>
    <w:p w:rsidR="00986A60" w:rsidRPr="00607117" w:rsidRDefault="00986A60" w:rsidP="00986A60">
      <w:pPr>
        <w:rPr>
          <w:rStyle w:val="Typewriter"/>
        </w:rPr>
      </w:pPr>
      <w:r w:rsidRPr="00246064">
        <w:rPr>
          <w:szCs w:val="24"/>
        </w:rPr>
        <w:t>Peticijų įstatymo 2 straipsnio 4 dalyje yra nustatyta, kad peticija – rašytinis arba elektroninis pareiškėjo kreipimasis į Seimą, Vyriausybę ar savivaldybės</w:t>
      </w:r>
      <w:r w:rsidRPr="00246064">
        <w:rPr>
          <w:b/>
          <w:szCs w:val="24"/>
        </w:rPr>
        <w:t xml:space="preserve"> </w:t>
      </w:r>
      <w:r w:rsidRPr="00246064">
        <w:rPr>
          <w:szCs w:val="24"/>
        </w:rPr>
        <w:t>institucijas su reikalavimais ar siūlymais spręsti klausimus, kai tam reikia priimti naują</w:t>
      </w:r>
      <w:r w:rsidRPr="00607117">
        <w:rPr>
          <w:szCs w:val="24"/>
        </w:rPr>
        <w:t xml:space="preserve"> teisės aktą, pakeisti, papildyti ar pripažinti netekusiu galios galiojantį teisės aktą ir kai peticijų komisijos tokį kreipimąsi pripažįsta peticija.</w:t>
      </w:r>
    </w:p>
    <w:p w:rsidR="00986A60" w:rsidRPr="00986A60" w:rsidRDefault="00986A60" w:rsidP="00986A60">
      <w:pPr>
        <w:rPr>
          <w:rFonts w:cs="Times New Roman"/>
          <w:szCs w:val="24"/>
        </w:rPr>
      </w:pPr>
      <w:r w:rsidRPr="00246064">
        <w:rPr>
          <w:szCs w:val="24"/>
        </w:rPr>
        <w:t xml:space="preserve">Peticijų įstatymo </w:t>
      </w:r>
      <w:r>
        <w:rPr>
          <w:szCs w:val="24"/>
        </w:rPr>
        <w:t>4</w:t>
      </w:r>
      <w:r w:rsidRPr="00246064">
        <w:rPr>
          <w:szCs w:val="24"/>
        </w:rPr>
        <w:t xml:space="preserve"> straipsnio </w:t>
      </w:r>
      <w:r>
        <w:rPr>
          <w:szCs w:val="24"/>
        </w:rPr>
        <w:t>1</w:t>
      </w:r>
      <w:r w:rsidRPr="00246064">
        <w:rPr>
          <w:szCs w:val="24"/>
        </w:rPr>
        <w:t xml:space="preserve"> dalyje yra nustatyta, kad kreipimesi turi būti nurodyta: pareiškėjo vardas, pavardė, gyvenamoji vieta, asmens kodas; institucija, kuriai paduodamas kreipimasis; prašymas pripažinti kreipimąsi peticija,</w:t>
      </w:r>
      <w:r w:rsidRPr="00246064">
        <w:rPr>
          <w:b/>
          <w:szCs w:val="24"/>
        </w:rPr>
        <w:t xml:space="preserve"> </w:t>
      </w:r>
      <w:r w:rsidRPr="00246064">
        <w:rPr>
          <w:szCs w:val="24"/>
        </w:rPr>
        <w:t xml:space="preserve">kreipimosi padavimo priežastys ir tikslai; pareiškėjo </w:t>
      </w:r>
      <w:r w:rsidRPr="00986A60">
        <w:rPr>
          <w:rFonts w:cs="Times New Roman"/>
          <w:szCs w:val="24"/>
        </w:rPr>
        <w:t xml:space="preserve">reikalavimai ir siūlymai. </w:t>
      </w:r>
      <w:r w:rsidRPr="00986A60">
        <w:rPr>
          <w:rStyle w:val="Typewriter"/>
          <w:rFonts w:ascii="Times New Roman" w:hAnsi="Times New Roman" w:cs="Times New Roman"/>
          <w:sz w:val="24"/>
          <w:szCs w:val="24"/>
        </w:rPr>
        <w:t>Kiekvienas kreipimasis turi būti pareiškėjo pasirašytas. Tais atvejais, kai pareiškėjas dėl fizinių trūkumų pats negali pasirašyti, kreipimąsi už pareiškėją pasirašo kitas asmuo, nurodydamas savo vardą, pavardę, gyvenamąją vietą, asmens kodą. Kreipimasis, pateiktas elektroniniu būdu, privalo būti pasirašytas elektroniniu parašu. Prie kreipimosi gali būti pridėti įvairūs dokumentai ar jų kopijos, siūlomo teisės akto projektas ir kita medžiaga.</w:t>
      </w:r>
    </w:p>
    <w:p w:rsidR="00986A60" w:rsidRDefault="00986A60" w:rsidP="00986A60">
      <w:pPr>
        <w:autoSpaceDE w:val="0"/>
        <w:autoSpaceDN w:val="0"/>
        <w:adjustRightInd w:val="0"/>
        <w:rPr>
          <w:szCs w:val="24"/>
        </w:rPr>
      </w:pPr>
      <w:r w:rsidRPr="00986A60">
        <w:rPr>
          <w:rFonts w:cs="Times New Roman"/>
          <w:szCs w:val="24"/>
          <w:lang w:eastAsia="lt-LT"/>
        </w:rPr>
        <w:t xml:space="preserve">Taigi kreipimąsi reikia parašyti ir pateikti pagal Peticijų įstatyme nustatytus formos ir turinio reikalavimus: kreipimesi turi būti nurodytas asmens kodas, jame turi būti aiškiai išdėstyti kreipimosi siūlymai ar reikalavimai, kurių tenkinimui </w:t>
      </w:r>
      <w:r w:rsidRPr="00986A60">
        <w:rPr>
          <w:rFonts w:cs="Times New Roman"/>
          <w:szCs w:val="24"/>
        </w:rPr>
        <w:t>reikėtų priimti naują teisės aktą, pakeisti, papildyti ar pripažinti netekusiu galios galiojantį teisės aktą,</w:t>
      </w:r>
      <w:r w:rsidRPr="00890FF0">
        <w:rPr>
          <w:szCs w:val="24"/>
        </w:rPr>
        <w:t xml:space="preserve"> tačiau </w:t>
      </w:r>
      <w:r>
        <w:rPr>
          <w:szCs w:val="24"/>
        </w:rPr>
        <w:t>šiame</w:t>
      </w:r>
      <w:r w:rsidRPr="00890FF0">
        <w:rPr>
          <w:szCs w:val="24"/>
        </w:rPr>
        <w:t xml:space="preserve"> </w:t>
      </w:r>
      <w:r>
        <w:rPr>
          <w:szCs w:val="24"/>
        </w:rPr>
        <w:t>kreipimesi</w:t>
      </w:r>
      <w:r w:rsidRPr="00890FF0">
        <w:rPr>
          <w:szCs w:val="24"/>
        </w:rPr>
        <w:t xml:space="preserve"> toks siūlymas ar reikalavimas</w:t>
      </w:r>
      <w:r>
        <w:rPr>
          <w:szCs w:val="24"/>
        </w:rPr>
        <w:t xml:space="preserve"> nėra suformuluotas, tik prašoma</w:t>
      </w:r>
      <w:r w:rsidRPr="00890FF0">
        <w:rPr>
          <w:szCs w:val="24"/>
        </w:rPr>
        <w:t xml:space="preserve"> </w:t>
      </w:r>
      <w:r w:rsidRPr="00890FF0">
        <w:rPr>
          <w:rFonts w:eastAsia="SegoeUI"/>
          <w:szCs w:val="24"/>
          <w:lang w:eastAsia="lt-LT"/>
        </w:rPr>
        <w:t>atkreipti dėmesį</w:t>
      </w:r>
      <w:r>
        <w:rPr>
          <w:rFonts w:eastAsia="SegoeUI"/>
          <w:szCs w:val="24"/>
          <w:lang w:eastAsia="lt-LT"/>
        </w:rPr>
        <w:t xml:space="preserve"> į</w:t>
      </w:r>
      <w:r w:rsidRPr="00890FF0">
        <w:rPr>
          <w:rFonts w:eastAsia="SegoeUI"/>
          <w:szCs w:val="24"/>
          <w:lang w:eastAsia="lt-LT"/>
        </w:rPr>
        <w:t xml:space="preserve"> </w:t>
      </w:r>
      <w:r>
        <w:rPr>
          <w:rFonts w:eastAsia="SegoeUI"/>
          <w:szCs w:val="24"/>
          <w:lang w:eastAsia="lt-LT"/>
        </w:rPr>
        <w:t>pareiškėjo</w:t>
      </w:r>
      <w:r w:rsidRPr="00890FF0">
        <w:rPr>
          <w:rFonts w:eastAsia="SegoeUI"/>
          <w:szCs w:val="24"/>
          <w:lang w:eastAsia="lt-LT"/>
        </w:rPr>
        <w:t xml:space="preserve"> pareiškimus ir apsvarstyti galimybę teikti </w:t>
      </w:r>
      <w:r>
        <w:rPr>
          <w:rFonts w:eastAsia="SegoeUI"/>
          <w:szCs w:val="24"/>
          <w:lang w:eastAsia="lt-LT"/>
        </w:rPr>
        <w:t>k</w:t>
      </w:r>
      <w:r w:rsidRPr="00890FF0">
        <w:rPr>
          <w:rFonts w:eastAsia="SegoeUI"/>
          <w:szCs w:val="24"/>
          <w:lang w:eastAsia="lt-LT"/>
        </w:rPr>
        <w:t>omisijos vardu įstatymo projektą</w:t>
      </w:r>
      <w:r>
        <w:rPr>
          <w:rFonts w:eastAsia="SegoeUI"/>
          <w:szCs w:val="24"/>
          <w:lang w:eastAsia="lt-LT"/>
        </w:rPr>
        <w:t xml:space="preserve">, </w:t>
      </w:r>
      <w:r w:rsidRPr="00890FF0">
        <w:rPr>
          <w:rFonts w:eastAsia="SegoeUI"/>
          <w:szCs w:val="24"/>
          <w:lang w:eastAsia="lt-LT"/>
        </w:rPr>
        <w:t>kuris pažeidžia žmonių</w:t>
      </w:r>
      <w:r>
        <w:rPr>
          <w:rFonts w:eastAsia="SegoeUI"/>
          <w:szCs w:val="24"/>
          <w:lang w:eastAsia="lt-LT"/>
        </w:rPr>
        <w:t xml:space="preserve"> teises, taip pat yra pridėtos prašymų į įvairias institucijas kopijos.</w:t>
      </w:r>
    </w:p>
    <w:p w:rsidR="00986A60" w:rsidRPr="00890FF0" w:rsidRDefault="00986A60" w:rsidP="00986A60">
      <w:pPr>
        <w:autoSpaceDE w:val="0"/>
        <w:autoSpaceDN w:val="0"/>
        <w:adjustRightInd w:val="0"/>
        <w:rPr>
          <w:bCs/>
          <w:color w:val="000000"/>
          <w:szCs w:val="24"/>
        </w:rPr>
      </w:pPr>
      <w:r>
        <w:rPr>
          <w:szCs w:val="24"/>
        </w:rPr>
        <w:t>Komisija taip pat nusprendė pareiškėją informuoti</w:t>
      </w:r>
      <w:r w:rsidRPr="00890FF0">
        <w:rPr>
          <w:szCs w:val="24"/>
        </w:rPr>
        <w:t xml:space="preserve">, kad 2012 m. balandžio 12 d. buvo priimta nauja Lietuvos Respublikos daugiabučių namų savininkų bendrijų įstatymo </w:t>
      </w:r>
      <w:r>
        <w:rPr>
          <w:szCs w:val="24"/>
        </w:rPr>
        <w:t>redakcija.</w:t>
      </w:r>
    </w:p>
    <w:p w:rsidR="00986A60" w:rsidRPr="0073232C" w:rsidRDefault="00986A60" w:rsidP="00986A60">
      <w:pPr>
        <w:ind w:firstLine="567"/>
        <w:rPr>
          <w:szCs w:val="24"/>
        </w:rPr>
      </w:pPr>
      <w:r w:rsidRPr="00890FF0">
        <w:rPr>
          <w:bCs/>
          <w:color w:val="000000"/>
          <w:szCs w:val="24"/>
        </w:rPr>
        <w:t xml:space="preserve">Šio įstatymo 11 straipsnio 1 dalyje yra nustatyta, kad </w:t>
      </w:r>
      <w:r w:rsidRPr="00890FF0">
        <w:rPr>
          <w:bCs/>
          <w:i/>
          <w:color w:val="000000"/>
          <w:szCs w:val="24"/>
        </w:rPr>
        <w:t>visuotinis gyventojų</w:t>
      </w:r>
      <w:r w:rsidRPr="00890FF0">
        <w:rPr>
          <w:i/>
          <w:color w:val="000000"/>
          <w:szCs w:val="24"/>
        </w:rPr>
        <w:t xml:space="preserve"> susirinkimas</w:t>
      </w:r>
      <w:r w:rsidRPr="00890FF0">
        <w:rPr>
          <w:color w:val="000000"/>
          <w:szCs w:val="24"/>
        </w:rPr>
        <w:t xml:space="preserve"> priima sprendimus dėl bendrijos administravimo būdo ir bendrojo naudojimo objektų nuolatinės techninės priežiūros (eksploatavimo) ir naudojimo orga</w:t>
      </w:r>
      <w:r w:rsidRPr="0073232C">
        <w:rPr>
          <w:color w:val="000000"/>
          <w:szCs w:val="24"/>
        </w:rPr>
        <w:t>nizavimo;</w:t>
      </w:r>
      <w:r>
        <w:rPr>
          <w:color w:val="000000"/>
          <w:szCs w:val="24"/>
        </w:rPr>
        <w:t xml:space="preserve"> </w:t>
      </w:r>
      <w:r w:rsidRPr="0073232C">
        <w:rPr>
          <w:color w:val="000000"/>
          <w:szCs w:val="24"/>
        </w:rPr>
        <w:t>tvirtina įmokų, skirtų bendrijos administravimo, bendrojo naudojimo objektų nuolatinės techninės priežiūros (eksploatavimo) ar kitoms išlaidoms apmokėti, tarifus; įmokas arba jų apskaičiavimo tvarką kaupiamajam pastato ar jo bendrojo naudojimo objektų atnaujinimo fondui arba investiciniam naujų bendrosios dalinės nuosavybės teisės objektų sukūrimo fondui sudaryti ir nustato šių lėšų naudojimo tvarką;</w:t>
      </w:r>
      <w:r>
        <w:rPr>
          <w:color w:val="000000"/>
          <w:szCs w:val="24"/>
        </w:rPr>
        <w:t xml:space="preserve"> </w:t>
      </w:r>
      <w:r w:rsidRPr="0073232C">
        <w:rPr>
          <w:color w:val="000000"/>
          <w:szCs w:val="24"/>
        </w:rPr>
        <w:t>tvirtina bendrojo naudojimo objektų aprašą;</w:t>
      </w:r>
      <w:r>
        <w:rPr>
          <w:color w:val="000000"/>
          <w:szCs w:val="24"/>
        </w:rPr>
        <w:t xml:space="preserve"> </w:t>
      </w:r>
      <w:r w:rsidRPr="0073232C">
        <w:rPr>
          <w:color w:val="000000"/>
          <w:szCs w:val="24"/>
        </w:rPr>
        <w:t>priima sprendimus dėl lėšų bendrojo naudojimo objektams atnaujinti skolinimosi arba kitų kreditinių įsipareigojimų, išskyrus šio įstatymo 12 straipsnyje numatytus atvejus;</w:t>
      </w:r>
      <w:r>
        <w:rPr>
          <w:color w:val="000000"/>
          <w:szCs w:val="24"/>
        </w:rPr>
        <w:t xml:space="preserve"> </w:t>
      </w:r>
      <w:r w:rsidRPr="0073232C">
        <w:rPr>
          <w:color w:val="000000"/>
          <w:szCs w:val="24"/>
        </w:rPr>
        <w:t xml:space="preserve">tvirtina kitas įmokas, susijusias su bendrijos administravimu, bendrojo </w:t>
      </w:r>
      <w:r w:rsidRPr="0073232C">
        <w:rPr>
          <w:color w:val="000000"/>
          <w:szCs w:val="24"/>
        </w:rPr>
        <w:lastRenderedPageBreak/>
        <w:t>naudojimo objektų naudojimu ir priežiūra, jeigu bendrijos įstatuose nenustatyta kitaip;</w:t>
      </w:r>
      <w:r>
        <w:rPr>
          <w:color w:val="000000"/>
          <w:szCs w:val="24"/>
        </w:rPr>
        <w:t xml:space="preserve"> </w:t>
      </w:r>
      <w:r w:rsidRPr="0073232C">
        <w:rPr>
          <w:color w:val="000000"/>
          <w:szCs w:val="24"/>
        </w:rPr>
        <w:t>priima sprendimus dėl nuostolių, atsiradusių dėl bendrijos ūkinės veikl</w:t>
      </w:r>
      <w:r>
        <w:rPr>
          <w:color w:val="000000"/>
          <w:szCs w:val="24"/>
        </w:rPr>
        <w:t>os, dengimo ir žalos atlyginimo ir t. t.</w:t>
      </w:r>
    </w:p>
    <w:p w:rsidR="00986A60" w:rsidRPr="00E176ED" w:rsidRDefault="00986A60" w:rsidP="00986A60">
      <w:pPr>
        <w:rPr>
          <w:color w:val="000000"/>
          <w:szCs w:val="24"/>
          <w:u w:val="single"/>
        </w:rPr>
      </w:pPr>
      <w:r>
        <w:rPr>
          <w:bCs/>
          <w:color w:val="000000"/>
          <w:szCs w:val="24"/>
        </w:rPr>
        <w:t>Šio įstatymo 12 straipsnio 1 dalyje yra nustatyta, kad s</w:t>
      </w:r>
      <w:r w:rsidRPr="00812CC9">
        <w:rPr>
          <w:color w:val="000000"/>
          <w:szCs w:val="24"/>
        </w:rPr>
        <w:t>prendimai dėl daugiabučio namo</w:t>
      </w:r>
      <w:r>
        <w:rPr>
          <w:color w:val="000000"/>
          <w:szCs w:val="24"/>
        </w:rPr>
        <w:t>,</w:t>
      </w:r>
      <w:r w:rsidRPr="00812CC9">
        <w:rPr>
          <w:color w:val="000000"/>
          <w:szCs w:val="24"/>
        </w:rPr>
        <w:t xml:space="preserve"> kuriame yra įsteigta bendrija, butų ir kitų patalpų (pastatų) savininkų bendrų interesų tenkinimo (karšto vandens tiekėjo, šilumos paskirstymo metodo, pastato (pastatų) šildymo būdo, atsiskaitymo tvarkos pasirinkimo, tiekimo vartojimo ribos nustatymo, patalpų (pastatų) savininkų sutarčių su paslaugų teikėjais sudarymo ar nutraukimo ir pan.), taip pat dėl priemonių, nesusijusių su pastato (pastatų) naudojimo ir priežiūros privalomųjų reikalavimų įgyvendinimu, dėl pastato (pastatų) atnaujinimo, lėšų šiam tikslui kaupimo ar skolinimosi ir kredito sutarčių sąlygų </w:t>
      </w:r>
      <w:r w:rsidRPr="00E176ED">
        <w:rPr>
          <w:color w:val="000000"/>
          <w:szCs w:val="24"/>
          <w:u w:val="single"/>
        </w:rPr>
        <w:t xml:space="preserve">priimami visų to daugiabučio namo (daugiabučių namų) ar kitos paskirties pastato (pastatų), kuriame (kuriuose) yra įsteigta bendrija, savininkų balsų dauguma, nepažeidžiant teisingumo, protingumo ir sąžiningumo reikalavimų. </w:t>
      </w:r>
    </w:p>
    <w:p w:rsidR="00986A60" w:rsidRDefault="00986A60" w:rsidP="00986A60">
      <w:pPr>
        <w:rPr>
          <w:szCs w:val="24"/>
        </w:rPr>
      </w:pPr>
      <w:r>
        <w:rPr>
          <w:szCs w:val="24"/>
        </w:rPr>
        <w:t xml:space="preserve">Jeigu namą administruoja </w:t>
      </w:r>
      <w:r>
        <w:rPr>
          <w:iCs/>
          <w:szCs w:val="24"/>
        </w:rPr>
        <w:t>už namo priežiūrą atsakinga įmonė, įstaiga arba organizacija, v</w:t>
      </w:r>
      <w:r>
        <w:rPr>
          <w:szCs w:val="24"/>
        </w:rPr>
        <w:t xml:space="preserve">adovaujantis Lietuvos Respublikos Vyriausybės nutarimu Nr. 876 patvirtintu Valstybės ir savivaldybių gyvenamųjų patalpų valstybės ir savivaldybių gyvenamųjų patalpų nuomininkų atsiskaitymo už šaltą ir karštą vandenį, elektros energiją, dujas, šiluminę energiją ir komunalines paslaugas tvarkos aprašu, administratorius mokesčius už komunalines paslaugas ir elektros energiją, sunaudotą daugiabučio namo bendroms reikmėms ar bendrabučio tipo daugiabučio namo reikmėms, paskirsto butų ir kitų patalpų savininkams ir nuomininkams, vadovaudamasis savivaldybės administracijos direktoriaus patvirtintais Butų ir kitų patalpų savininkų bendrosios nuosavybės administravimo nuostatais, ir pagal sudarytas sutartis atsiskaito su komunalinių paslaugų teikėjais ir elektros energijos tiekėjais. Pagal minėtus nuostatus administratorius mėnesinius mokesčius už elektros energiją, sunaudotą namo bendroms reikmėms, už liftą, taip pat už namo šildymo ir karšto vandens sistemos priežiūrą (eksploatavimą) apskaičiuoja proporcingai bendrosios nuosavybės daliai (butų ir kitų patalpų naudingajam plotui). </w:t>
      </w:r>
    </w:p>
    <w:p w:rsidR="00954BA9" w:rsidRDefault="00986A60" w:rsidP="00986A60">
      <w:r>
        <w:rPr>
          <w:szCs w:val="24"/>
        </w:rPr>
        <w:t>Taip pat informuojame, kad D</w:t>
      </w:r>
      <w:r w:rsidRPr="00EA38A6">
        <w:rPr>
          <w:bCs/>
          <w:color w:val="000000"/>
          <w:szCs w:val="24"/>
        </w:rPr>
        <w:t>augiabučių gyvenamųjų namų ir kitos paskirties pastatų savininkų bendrijų</w:t>
      </w:r>
      <w:r>
        <w:rPr>
          <w:bCs/>
          <w:color w:val="000000"/>
          <w:szCs w:val="24"/>
        </w:rPr>
        <w:t xml:space="preserve"> įstatymo 2 straipsnio 15 dalyje yra nustatyta, </w:t>
      </w:r>
      <w:r w:rsidRPr="00044B36">
        <w:rPr>
          <w:bCs/>
          <w:color w:val="000000"/>
          <w:szCs w:val="24"/>
        </w:rPr>
        <w:t xml:space="preserve">kad </w:t>
      </w:r>
      <w:r>
        <w:rPr>
          <w:bCs/>
          <w:color w:val="000000"/>
          <w:szCs w:val="24"/>
        </w:rPr>
        <w:t>p</w:t>
      </w:r>
      <w:r w:rsidRPr="00044B36">
        <w:rPr>
          <w:bCs/>
          <w:color w:val="000000"/>
          <w:szCs w:val="24"/>
        </w:rPr>
        <w:t>astato bendrojo naudojimo objektai</w:t>
      </w:r>
      <w:r w:rsidRPr="00044B36">
        <w:rPr>
          <w:color w:val="000000"/>
          <w:szCs w:val="24"/>
        </w:rPr>
        <w:t>:</w:t>
      </w:r>
      <w:r w:rsidRPr="004A2F6A">
        <w:rPr>
          <w:color w:val="000000"/>
          <w:szCs w:val="24"/>
        </w:rPr>
        <w:t xml:space="preserve"> bendrosios pastato konstrukcijos – pagrindinės pastato konstrukcijos (pamatai, visos laikančiosios sienos ir kolonos, išorinės sienos ir vidinės pertvaros, atskiriančios bendrojo naudojimo patalpas nuo skirtingiems savininkams priklausančių butų ir kitų patalpų, perdangos, stogas, fasado architektūros detalės, bendrojo naudojimo balkonai ir </w:t>
      </w:r>
      <w:proofErr w:type="spellStart"/>
      <w:r w:rsidRPr="004A2F6A">
        <w:rPr>
          <w:color w:val="000000"/>
          <w:szCs w:val="24"/>
        </w:rPr>
        <w:t>lodžijos</w:t>
      </w:r>
      <w:proofErr w:type="spellEnd"/>
      <w:r w:rsidRPr="004A2F6A">
        <w:rPr>
          <w:color w:val="000000"/>
          <w:szCs w:val="24"/>
        </w:rPr>
        <w:t xml:space="preserve">, kitų balkonų ir </w:t>
      </w:r>
      <w:proofErr w:type="spellStart"/>
      <w:r w:rsidRPr="004A2F6A">
        <w:rPr>
          <w:color w:val="000000"/>
          <w:szCs w:val="24"/>
        </w:rPr>
        <w:t>lodžijų</w:t>
      </w:r>
      <w:proofErr w:type="spellEnd"/>
      <w:r w:rsidRPr="004A2F6A">
        <w:rPr>
          <w:color w:val="000000"/>
          <w:szCs w:val="24"/>
        </w:rPr>
        <w:t xml:space="preserve"> išorinės (fasado) konstrukcijos, išorės durys, laiptinių laiptų konstrukcijos, išoriniai laiptai, </w:t>
      </w:r>
      <w:proofErr w:type="spellStart"/>
      <w:r w:rsidRPr="004A2F6A">
        <w:rPr>
          <w:color w:val="000000"/>
          <w:szCs w:val="24"/>
        </w:rPr>
        <w:t>nuožulnos</w:t>
      </w:r>
      <w:proofErr w:type="spellEnd"/>
      <w:r w:rsidRPr="004A2F6A">
        <w:rPr>
          <w:color w:val="000000"/>
          <w:szCs w:val="24"/>
        </w:rPr>
        <w:t>, stogeliai);</w:t>
      </w:r>
      <w:r>
        <w:rPr>
          <w:color w:val="000000"/>
          <w:szCs w:val="24"/>
        </w:rPr>
        <w:t xml:space="preserve"> </w:t>
      </w:r>
      <w:r w:rsidRPr="004A2F6A">
        <w:rPr>
          <w:color w:val="000000"/>
          <w:szCs w:val="24"/>
        </w:rPr>
        <w:t xml:space="preserve">bendrosios pastato inžinerinės sistemos – pastato bendrojo naudojimo mechaninė, elektros, dujų, šilumos, sanitarinės technikos ir kita įranga (įskaitant pastato elektros </w:t>
      </w:r>
      <w:r w:rsidRPr="004A2F6A">
        <w:rPr>
          <w:color w:val="000000"/>
          <w:szCs w:val="24"/>
        </w:rPr>
        <w:lastRenderedPageBreak/>
        <w:t>skydinę, šilumos punktą, šildymo ir karšto vandens sistemos vamzdynus ir radiatorius, vandentiekio ir kanalizacijos vamzdynus, rankšluosčių džiovintuvus); pastato bendrojo naudojimo patalpos – pastato laiptinės, holai, koridoriai, galerijos, palėpės, sandėliai, rūsiai, pusrūsiai ir kitos patalpos, jeigu tai nuosavybės teise nepriklauso atskiriems savininkams;</w:t>
      </w:r>
      <w:r>
        <w:rPr>
          <w:color w:val="000000"/>
          <w:szCs w:val="24"/>
        </w:rPr>
        <w:t xml:space="preserve"> </w:t>
      </w:r>
      <w:r w:rsidRPr="004A2F6A">
        <w:rPr>
          <w:color w:val="000000"/>
          <w:szCs w:val="24"/>
        </w:rPr>
        <w:t>bendrojo naudojimo žemės sklypas –</w:t>
      </w:r>
      <w:r w:rsidRPr="004A2F6A">
        <w:rPr>
          <w:b/>
          <w:bCs/>
          <w:color w:val="000000"/>
          <w:szCs w:val="24"/>
        </w:rPr>
        <w:t xml:space="preserve"> </w:t>
      </w:r>
      <w:r w:rsidRPr="004A2F6A">
        <w:rPr>
          <w:color w:val="000000"/>
          <w:szCs w:val="24"/>
        </w:rPr>
        <w:t>bendrosios dalinės nuosavybės teise ar kitais įstatymų nustatytais pagrindais daugiabučių gyvenamųjų namų ar kitos paskirties pastatų savininkų naudojamas ir (ar) valdomas žemės sklypas</w:t>
      </w:r>
    </w:p>
    <w:p w:rsidR="00954BA9" w:rsidRDefault="00954BA9" w:rsidP="00954BA9"/>
    <w:p w:rsidR="00657132" w:rsidRPr="0025634D" w:rsidRDefault="00657132" w:rsidP="00657132">
      <w:pPr>
        <w:ind w:firstLine="0"/>
        <w:rPr>
          <w:rFonts w:cs="Times New Roman"/>
          <w:szCs w:val="24"/>
        </w:rPr>
      </w:pPr>
      <w:r w:rsidRPr="0025634D">
        <w:rPr>
          <w:rFonts w:cs="Times New Roman"/>
          <w:szCs w:val="24"/>
        </w:rPr>
        <w:t xml:space="preserve">Komisijų biuro patarėja Janina </w:t>
      </w:r>
      <w:proofErr w:type="spellStart"/>
      <w:r w:rsidRPr="0025634D">
        <w:rPr>
          <w:rFonts w:cs="Times New Roman"/>
          <w:szCs w:val="24"/>
        </w:rPr>
        <w:t>Šniaukštienė</w:t>
      </w:r>
      <w:proofErr w:type="spellEnd"/>
      <w:r w:rsidRPr="0025634D">
        <w:rPr>
          <w:rFonts w:cs="Times New Roman"/>
          <w:szCs w:val="24"/>
        </w:rPr>
        <w:t>, tel. (8 5) 239 6819, el. p. jasnia@lrs.lt</w:t>
      </w:r>
    </w:p>
    <w:p w:rsidR="00657132" w:rsidRDefault="00657132" w:rsidP="00657132">
      <w:pPr>
        <w:pStyle w:val="Pagrindiniotekstotrauka2"/>
        <w:spacing w:after="0" w:line="360" w:lineRule="auto"/>
        <w:ind w:firstLine="567"/>
        <w:rPr>
          <w:bCs/>
        </w:rPr>
      </w:pPr>
    </w:p>
    <w:p w:rsidR="00217183" w:rsidRPr="00217183" w:rsidRDefault="00217183" w:rsidP="00217183">
      <w:bookmarkStart w:id="0" w:name="_GoBack"/>
      <w:bookmarkEnd w:id="0"/>
    </w:p>
    <w:sectPr w:rsidR="00217183" w:rsidRPr="00217183" w:rsidSect="00236D6B">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33A3" w:rsidRDefault="006B33A3" w:rsidP="00236D6B">
      <w:pPr>
        <w:spacing w:line="240" w:lineRule="auto"/>
      </w:pPr>
      <w:r>
        <w:separator/>
      </w:r>
    </w:p>
  </w:endnote>
  <w:endnote w:type="continuationSeparator" w:id="0">
    <w:p w:rsidR="006B33A3" w:rsidRDefault="006B33A3" w:rsidP="00236D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Courier New">
    <w:panose1 w:val="02070309020205020404"/>
    <w:charset w:val="BA"/>
    <w:family w:val="modern"/>
    <w:pitch w:val="fixed"/>
    <w:sig w:usb0="E0002AFF" w:usb1="C0007843"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TimesNewRomanPSMT">
    <w:altName w:val="MS Mincho"/>
    <w:panose1 w:val="00000000000000000000"/>
    <w:charset w:val="80"/>
    <w:family w:val="auto"/>
    <w:notTrueType/>
    <w:pitch w:val="default"/>
    <w:sig w:usb0="00000005" w:usb1="08070000" w:usb2="00000010" w:usb3="00000000" w:csb0="00020082" w:csb1="00000000"/>
  </w:font>
  <w:font w:name="TimesNewRomanPS-ItalicMT">
    <w:altName w:val="MS Mincho"/>
    <w:panose1 w:val="00000000000000000000"/>
    <w:charset w:val="80"/>
    <w:family w:val="auto"/>
    <w:notTrueType/>
    <w:pitch w:val="default"/>
    <w:sig w:usb0="00000000" w:usb1="08070000" w:usb2="00000010" w:usb3="00000000" w:csb0="00020000" w:csb1="00000000"/>
  </w:font>
  <w:font w:name="SegoeUI">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33A3" w:rsidRDefault="006B33A3" w:rsidP="00236D6B">
      <w:pPr>
        <w:spacing w:line="240" w:lineRule="auto"/>
      </w:pPr>
      <w:r>
        <w:separator/>
      </w:r>
    </w:p>
  </w:footnote>
  <w:footnote w:type="continuationSeparator" w:id="0">
    <w:p w:rsidR="006B33A3" w:rsidRDefault="006B33A3" w:rsidP="00236D6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5337790"/>
      <w:docPartObj>
        <w:docPartGallery w:val="Page Numbers (Top of Page)"/>
        <w:docPartUnique/>
      </w:docPartObj>
    </w:sdtPr>
    <w:sdtEndPr/>
    <w:sdtContent>
      <w:p w:rsidR="00236D6B" w:rsidRDefault="00236D6B">
        <w:pPr>
          <w:pStyle w:val="Antrats"/>
          <w:jc w:val="center"/>
        </w:pPr>
        <w:r>
          <w:fldChar w:fldCharType="begin"/>
        </w:r>
        <w:r>
          <w:instrText>PAGE   \* MERGEFORMAT</w:instrText>
        </w:r>
        <w:r>
          <w:fldChar w:fldCharType="separate"/>
        </w:r>
        <w:r w:rsidR="00310FCB">
          <w:rPr>
            <w:noProof/>
          </w:rPr>
          <w:t>6</w:t>
        </w:r>
        <w:r>
          <w:fldChar w:fldCharType="end"/>
        </w:r>
      </w:p>
    </w:sdtContent>
  </w:sdt>
  <w:p w:rsidR="00236D6B" w:rsidRDefault="00236D6B">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33A3"/>
    <w:rsid w:val="00050041"/>
    <w:rsid w:val="001A47A9"/>
    <w:rsid w:val="00217183"/>
    <w:rsid w:val="002351E2"/>
    <w:rsid w:val="00236D6B"/>
    <w:rsid w:val="00310FCB"/>
    <w:rsid w:val="004415F9"/>
    <w:rsid w:val="00452D2B"/>
    <w:rsid w:val="00464771"/>
    <w:rsid w:val="004A3875"/>
    <w:rsid w:val="004B6F32"/>
    <w:rsid w:val="005D61C5"/>
    <w:rsid w:val="00657132"/>
    <w:rsid w:val="006B33A3"/>
    <w:rsid w:val="00755752"/>
    <w:rsid w:val="00851E02"/>
    <w:rsid w:val="00887561"/>
    <w:rsid w:val="008B3C0F"/>
    <w:rsid w:val="00954BA9"/>
    <w:rsid w:val="00986A60"/>
    <w:rsid w:val="00A923D2"/>
    <w:rsid w:val="00C26569"/>
    <w:rsid w:val="00CE336C"/>
    <w:rsid w:val="00D52531"/>
    <w:rsid w:val="00D84D11"/>
    <w:rsid w:val="00F46148"/>
    <w:rsid w:val="00F717EE"/>
    <w:rsid w:val="00FF015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6B33A3"/>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 w:type="character" w:customStyle="1" w:styleId="Typewriter">
    <w:name w:val="Typewriter"/>
    <w:rsid w:val="00954BA9"/>
    <w:rPr>
      <w:rFonts w:ascii="Courier New" w:hAnsi="Courier New"/>
      <w:sz w:val="20"/>
    </w:rPr>
  </w:style>
  <w:style w:type="paragraph" w:styleId="Pagrindiniotekstotrauka">
    <w:name w:val="Body Text Indent"/>
    <w:basedOn w:val="prastasis"/>
    <w:link w:val="PagrindiniotekstotraukaDiagrama"/>
    <w:unhideWhenUsed/>
    <w:rsid w:val="00986A60"/>
    <w:pPr>
      <w:spacing w:line="240" w:lineRule="auto"/>
    </w:pPr>
    <w:rPr>
      <w:rFonts w:eastAsia="Times New Roman" w:cs="Times New Roman"/>
      <w:szCs w:val="24"/>
    </w:rPr>
  </w:style>
  <w:style w:type="character" w:customStyle="1" w:styleId="PagrindiniotekstotraukaDiagrama">
    <w:name w:val="Pagrindinio teksto įtrauka Diagrama"/>
    <w:basedOn w:val="Numatytasispastraiposriftas"/>
    <w:link w:val="Pagrindiniotekstotrauka"/>
    <w:rsid w:val="00986A60"/>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semiHidden/>
    <w:unhideWhenUsed/>
    <w:rsid w:val="00657132"/>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57132"/>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6B33A3"/>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 w:type="character" w:customStyle="1" w:styleId="Typewriter">
    <w:name w:val="Typewriter"/>
    <w:rsid w:val="00954BA9"/>
    <w:rPr>
      <w:rFonts w:ascii="Courier New" w:hAnsi="Courier New"/>
      <w:sz w:val="20"/>
    </w:rPr>
  </w:style>
  <w:style w:type="paragraph" w:styleId="Pagrindiniotekstotrauka">
    <w:name w:val="Body Text Indent"/>
    <w:basedOn w:val="prastasis"/>
    <w:link w:val="PagrindiniotekstotraukaDiagrama"/>
    <w:unhideWhenUsed/>
    <w:rsid w:val="00986A60"/>
    <w:pPr>
      <w:spacing w:line="240" w:lineRule="auto"/>
    </w:pPr>
    <w:rPr>
      <w:rFonts w:eastAsia="Times New Roman" w:cs="Times New Roman"/>
      <w:szCs w:val="24"/>
    </w:rPr>
  </w:style>
  <w:style w:type="character" w:customStyle="1" w:styleId="PagrindiniotekstotraukaDiagrama">
    <w:name w:val="Pagrindinio teksto įtrauka Diagrama"/>
    <w:basedOn w:val="Numatytasispastraiposriftas"/>
    <w:link w:val="Pagrindiniotekstotrauka"/>
    <w:rsid w:val="00986A60"/>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semiHidden/>
    <w:unhideWhenUsed/>
    <w:rsid w:val="00657132"/>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5713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7</Pages>
  <Words>11806</Words>
  <Characters>6730</Characters>
  <Application>Microsoft Office Word</Application>
  <DocSecurity>0</DocSecurity>
  <Lines>56</Lines>
  <Paragraphs>36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18500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10</cp:revision>
  <dcterms:created xsi:type="dcterms:W3CDTF">2015-10-19T04:52:00Z</dcterms:created>
  <dcterms:modified xsi:type="dcterms:W3CDTF">2015-10-21T13:07:00Z</dcterms:modified>
</cp:coreProperties>
</file>