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41F8" w:rsidRDefault="00B541F8" w:rsidP="00B541F8">
      <w:pPr>
        <w:jc w:val="center"/>
        <w:rPr>
          <w:rFonts w:cs="Times New Roman"/>
          <w:b/>
          <w:szCs w:val="24"/>
        </w:rPr>
      </w:pPr>
      <w:r w:rsidRPr="0025634D">
        <w:rPr>
          <w:rFonts w:cs="Times New Roman"/>
          <w:b/>
          <w:szCs w:val="24"/>
        </w:rPr>
        <w:t>Pranešimas ap</w:t>
      </w:r>
      <w:r>
        <w:rPr>
          <w:rFonts w:cs="Times New Roman"/>
          <w:b/>
          <w:szCs w:val="24"/>
        </w:rPr>
        <w:t>ie Komisijos 2015 m. rugsėjo 30</w:t>
      </w:r>
      <w:r w:rsidRPr="0025634D">
        <w:rPr>
          <w:rFonts w:cs="Times New Roman"/>
          <w:b/>
          <w:szCs w:val="24"/>
        </w:rPr>
        <w:t xml:space="preserve"> d. posėdyje nagrinėtus klausimus ir priimtus sprendimus</w:t>
      </w:r>
    </w:p>
    <w:p w:rsidR="00B541F8" w:rsidRPr="0025634D" w:rsidRDefault="00B541F8" w:rsidP="00B541F8">
      <w:pPr>
        <w:jc w:val="center"/>
        <w:rPr>
          <w:rFonts w:cs="Times New Roman"/>
          <w:b/>
          <w:szCs w:val="24"/>
        </w:rPr>
      </w:pPr>
    </w:p>
    <w:p w:rsidR="00B541F8" w:rsidRPr="0025634D" w:rsidRDefault="00B541F8" w:rsidP="00B541F8">
      <w:pPr>
        <w:rPr>
          <w:rFonts w:cs="Times New Roman"/>
          <w:szCs w:val="24"/>
        </w:rPr>
      </w:pPr>
      <w:r>
        <w:rPr>
          <w:rFonts w:cs="Times New Roman"/>
          <w:szCs w:val="24"/>
        </w:rPr>
        <w:t>Komisijos 2015 m.  rugsėjo 30</w:t>
      </w:r>
      <w:r w:rsidRPr="0025634D">
        <w:rPr>
          <w:rFonts w:cs="Times New Roman"/>
          <w:szCs w:val="24"/>
        </w:rPr>
        <w:t xml:space="preserve"> d. posėdyje buvo nagrinėjami šie klausimai:</w:t>
      </w:r>
    </w:p>
    <w:p w:rsidR="006712E0" w:rsidRDefault="00B541F8" w:rsidP="00B541F8">
      <w:pPr>
        <w:rPr>
          <w:szCs w:val="24"/>
        </w:rPr>
      </w:pPr>
      <w:r>
        <w:rPr>
          <w:szCs w:val="24"/>
        </w:rPr>
        <w:t>1. Anatolijaus Lapinsko</w:t>
      </w:r>
      <w:r w:rsidRPr="00A5702D">
        <w:rPr>
          <w:szCs w:val="24"/>
        </w:rPr>
        <w:t xml:space="preserve"> peticijos „</w:t>
      </w:r>
      <w:r w:rsidR="006712E0" w:rsidRPr="00321A31">
        <w:rPr>
          <w:szCs w:val="24"/>
        </w:rPr>
        <w:t>Dėl valstybinio socialinio draudimo fondo biudžeto 2015 metų rodiklių patvirtinimo įstatymo pakeitimo“</w:t>
      </w:r>
      <w:r w:rsidR="006712E0">
        <w:rPr>
          <w:szCs w:val="24"/>
        </w:rPr>
        <w:t xml:space="preserve"> nagrinėjimas iš esmės. </w:t>
      </w:r>
    </w:p>
    <w:p w:rsidR="00B541F8" w:rsidRDefault="00B541F8" w:rsidP="00B541F8">
      <w:pPr>
        <w:rPr>
          <w:szCs w:val="24"/>
        </w:rPr>
      </w:pPr>
      <w:r>
        <w:rPr>
          <w:szCs w:val="24"/>
        </w:rPr>
        <w:t xml:space="preserve">2. </w:t>
      </w:r>
      <w:r w:rsidR="006712E0">
        <w:rPr>
          <w:szCs w:val="24"/>
        </w:rPr>
        <w:t xml:space="preserve">Arsenijaus Vorobjovo peticijos </w:t>
      </w:r>
      <w:r w:rsidR="006712E0" w:rsidRPr="00AD6BDA">
        <w:rPr>
          <w:szCs w:val="24"/>
        </w:rPr>
        <w:t>„</w:t>
      </w:r>
      <w:r w:rsidR="006712E0">
        <w:rPr>
          <w:szCs w:val="24"/>
        </w:rPr>
        <w:t>Dėl mėgėjiškos žvejybos įstatymo</w:t>
      </w:r>
      <w:r w:rsidR="006712E0" w:rsidRPr="00891704">
        <w:rPr>
          <w:szCs w:val="24"/>
        </w:rPr>
        <w:t>“</w:t>
      </w:r>
      <w:r w:rsidR="006712E0">
        <w:rPr>
          <w:szCs w:val="24"/>
        </w:rPr>
        <w:t xml:space="preserve"> nagrinėjimas iš esmės. </w:t>
      </w:r>
    </w:p>
    <w:p w:rsidR="006712E0" w:rsidRDefault="00B541F8" w:rsidP="00B541F8">
      <w:pPr>
        <w:rPr>
          <w:szCs w:val="24"/>
        </w:rPr>
      </w:pPr>
      <w:r>
        <w:rPr>
          <w:szCs w:val="24"/>
        </w:rPr>
        <w:t xml:space="preserve">3. </w:t>
      </w:r>
      <w:r w:rsidR="006712E0">
        <w:rPr>
          <w:szCs w:val="24"/>
        </w:rPr>
        <w:t xml:space="preserve">Dėl Zenono Kavecko kreipimosi </w:t>
      </w:r>
      <w:r w:rsidR="006712E0" w:rsidRPr="00AD6BDA">
        <w:rPr>
          <w:szCs w:val="24"/>
        </w:rPr>
        <w:t>„</w:t>
      </w:r>
      <w:r w:rsidR="006712E0">
        <w:rPr>
          <w:szCs w:val="24"/>
        </w:rPr>
        <w:t>Dėl vandens tiekimo abonentinio mokesčio</w:t>
      </w:r>
      <w:r w:rsidR="006712E0" w:rsidRPr="00891704">
        <w:rPr>
          <w:szCs w:val="24"/>
        </w:rPr>
        <w:t>“</w:t>
      </w:r>
      <w:r w:rsidR="006712E0">
        <w:rPr>
          <w:szCs w:val="24"/>
        </w:rPr>
        <w:t xml:space="preserve"> pripažinimo peticija.</w:t>
      </w:r>
    </w:p>
    <w:p w:rsidR="006712E0" w:rsidRDefault="00B541F8" w:rsidP="00B541F8">
      <w:pPr>
        <w:rPr>
          <w:szCs w:val="24"/>
        </w:rPr>
      </w:pPr>
      <w:r>
        <w:rPr>
          <w:szCs w:val="24"/>
        </w:rPr>
        <w:t xml:space="preserve">4. </w:t>
      </w:r>
      <w:r w:rsidR="006712E0">
        <w:rPr>
          <w:szCs w:val="24"/>
        </w:rPr>
        <w:t>Dėl Gintauto Tamošaičio kreipimosi „Dėl Lietuvos Respublikos darbo kodekso patvirtinimo, įsigaliojimo ir įgyvendinimo įstatymo projekto Nr. XIIP-3234 pakeitimo“.</w:t>
      </w:r>
    </w:p>
    <w:p w:rsidR="00217183" w:rsidRDefault="00B541F8" w:rsidP="00B541F8">
      <w:pPr>
        <w:rPr>
          <w:szCs w:val="24"/>
        </w:rPr>
      </w:pPr>
      <w:r>
        <w:rPr>
          <w:szCs w:val="24"/>
        </w:rPr>
        <w:t xml:space="preserve">5. </w:t>
      </w:r>
      <w:r w:rsidR="006712E0">
        <w:rPr>
          <w:szCs w:val="24"/>
        </w:rPr>
        <w:t xml:space="preserve">Dėl Arvydo Edvardo </w:t>
      </w:r>
      <w:proofErr w:type="spellStart"/>
      <w:r w:rsidR="006712E0">
        <w:rPr>
          <w:szCs w:val="24"/>
        </w:rPr>
        <w:t>Čiūto</w:t>
      </w:r>
      <w:proofErr w:type="spellEnd"/>
      <w:r w:rsidR="006712E0">
        <w:rPr>
          <w:szCs w:val="24"/>
        </w:rPr>
        <w:t xml:space="preserve"> kreipimosi „Dėl rangos ir autorinių darbo sutarčių įtraukimo į darbo stažo laiką“.</w:t>
      </w:r>
    </w:p>
    <w:p w:rsidR="006712E0" w:rsidRDefault="006712E0" w:rsidP="006712E0">
      <w:pPr>
        <w:rPr>
          <w:szCs w:val="24"/>
        </w:rPr>
      </w:pPr>
      <w:r>
        <w:rPr>
          <w:szCs w:val="24"/>
        </w:rPr>
        <w:t xml:space="preserve">6. Dėl Dariaus Bučo kreipimosi „Dėl Lietuvos Respublikos bausmių vykdymo kodekso </w:t>
      </w:r>
      <w:r w:rsidRPr="00473CCA">
        <w:rPr>
          <w:szCs w:val="24"/>
        </w:rPr>
        <w:t>papildymo 157</w:t>
      </w:r>
      <w:r w:rsidRPr="00473CCA">
        <w:rPr>
          <w:szCs w:val="24"/>
          <w:vertAlign w:val="superscript"/>
        </w:rPr>
        <w:t>1</w:t>
      </w:r>
      <w:r w:rsidRPr="00473CCA">
        <w:rPr>
          <w:szCs w:val="24"/>
        </w:rPr>
        <w:t xml:space="preserve"> straipsniu</w:t>
      </w:r>
      <w:r>
        <w:rPr>
          <w:szCs w:val="24"/>
        </w:rPr>
        <w:t>.</w:t>
      </w:r>
      <w:r w:rsidRPr="00473CCA">
        <w:rPr>
          <w:szCs w:val="24"/>
        </w:rPr>
        <w:t>“</w:t>
      </w:r>
    </w:p>
    <w:p w:rsidR="006712E0" w:rsidRPr="00473CCA" w:rsidRDefault="006712E0" w:rsidP="006712E0">
      <w:pPr>
        <w:rPr>
          <w:szCs w:val="24"/>
        </w:rPr>
      </w:pPr>
      <w:r>
        <w:rPr>
          <w:szCs w:val="24"/>
        </w:rPr>
        <w:t>7. Dėl Vinco Jokimo kreipimosi „Lietuvos Respublikos valstybės apdovanojimų įstatymo pakeitimo ir papildymo“ ir jo skundų, adresuotų teismams.</w:t>
      </w:r>
    </w:p>
    <w:p w:rsidR="006712E0" w:rsidRDefault="006712E0" w:rsidP="00B541F8">
      <w:pPr>
        <w:rPr>
          <w:szCs w:val="24"/>
        </w:rPr>
      </w:pPr>
      <w:r>
        <w:rPr>
          <w:szCs w:val="24"/>
        </w:rPr>
        <w:t xml:space="preserve">8. Dėl Filomenos </w:t>
      </w:r>
      <w:proofErr w:type="spellStart"/>
      <w:r>
        <w:rPr>
          <w:szCs w:val="24"/>
        </w:rPr>
        <w:t>Bieliauskienės</w:t>
      </w:r>
      <w:proofErr w:type="spellEnd"/>
      <w:r>
        <w:rPr>
          <w:szCs w:val="24"/>
        </w:rPr>
        <w:t xml:space="preserve"> prašymo.</w:t>
      </w:r>
    </w:p>
    <w:p w:rsidR="0029124C" w:rsidRDefault="006712E0" w:rsidP="0029124C">
      <w:pPr>
        <w:autoSpaceDE w:val="0"/>
        <w:autoSpaceDN w:val="0"/>
        <w:adjustRightInd w:val="0"/>
        <w:ind w:firstLine="709"/>
        <w:rPr>
          <w:szCs w:val="24"/>
        </w:rPr>
      </w:pPr>
      <w:r>
        <w:rPr>
          <w:szCs w:val="24"/>
        </w:rPr>
        <w:t xml:space="preserve">1. </w:t>
      </w:r>
      <w:r w:rsidR="0029124C">
        <w:rPr>
          <w:szCs w:val="24"/>
        </w:rPr>
        <w:t>Komisija iš esmės išnagrinėjo Anatolijaus Lapinsko peticiją „Dėl Valstybinio socialinio draudimo fondo biudžeto 2015 metų rodiklių patvirtinimo įstatymo pakeitimo“ ir priėmė sprendimą:</w:t>
      </w:r>
    </w:p>
    <w:p w:rsidR="0029124C" w:rsidRDefault="0029124C" w:rsidP="0029124C">
      <w:pPr>
        <w:autoSpaceDE w:val="0"/>
        <w:autoSpaceDN w:val="0"/>
        <w:adjustRightInd w:val="0"/>
        <w:ind w:firstLine="709"/>
        <w:rPr>
          <w:rFonts w:eastAsia="SegoeUI"/>
          <w:szCs w:val="24"/>
        </w:rPr>
      </w:pPr>
      <w:r>
        <w:rPr>
          <w:szCs w:val="24"/>
        </w:rPr>
        <w:t xml:space="preserve">1. Atmesti peticijoje pateiktą pasiūlymą </w:t>
      </w:r>
      <w:r>
        <w:rPr>
          <w:rFonts w:eastAsia="SegoeUI"/>
          <w:szCs w:val="24"/>
        </w:rPr>
        <w:t xml:space="preserve">pakeisti Lietuvos Respublikos valstybinio socialinio draudimo fondo 2015 metų rodiklių patvirtinimo įstatymo 6 straipsnį ir jį išdėstyti taip: </w:t>
      </w:r>
    </w:p>
    <w:p w:rsidR="0029124C" w:rsidRDefault="0029124C" w:rsidP="0029124C">
      <w:pPr>
        <w:autoSpaceDE w:val="0"/>
        <w:autoSpaceDN w:val="0"/>
        <w:adjustRightInd w:val="0"/>
        <w:ind w:firstLine="709"/>
        <w:rPr>
          <w:rFonts w:eastAsia="SegoeUI-Bold"/>
          <w:b/>
          <w:bCs/>
          <w:szCs w:val="24"/>
        </w:rPr>
      </w:pPr>
      <w:r>
        <w:rPr>
          <w:rFonts w:eastAsia="SegoeUI-Bold"/>
          <w:b/>
          <w:bCs/>
          <w:szCs w:val="24"/>
        </w:rPr>
        <w:t xml:space="preserve"> „6 straipsnis.</w:t>
      </w:r>
      <w:r>
        <w:rPr>
          <w:rFonts w:eastAsia="SegoeUI-Bold"/>
          <w:bCs/>
          <w:szCs w:val="24"/>
        </w:rPr>
        <w:t xml:space="preserve"> </w:t>
      </w:r>
      <w:r>
        <w:rPr>
          <w:rFonts w:eastAsia="SegoeUI-Bold"/>
          <w:b/>
          <w:bCs/>
          <w:szCs w:val="24"/>
        </w:rPr>
        <w:t xml:space="preserve">Valstybinio socialinio draudimo įmokų, pervedamų į pensijų kaupiamuosius fondus, kompensavimas </w:t>
      </w:r>
    </w:p>
    <w:p w:rsidR="0029124C" w:rsidRDefault="0029124C" w:rsidP="0029124C">
      <w:pPr>
        <w:autoSpaceDE w:val="0"/>
        <w:autoSpaceDN w:val="0"/>
        <w:adjustRightInd w:val="0"/>
        <w:ind w:firstLine="709"/>
        <w:rPr>
          <w:rFonts w:eastAsia="Calibri"/>
          <w:szCs w:val="24"/>
        </w:rPr>
      </w:pPr>
      <w:r>
        <w:rPr>
          <w:rFonts w:eastAsia="SegoeUI-Bold"/>
          <w:bCs/>
          <w:szCs w:val="24"/>
        </w:rPr>
        <w:t>Valstybinio socialinio draudimo įmokoms, pervedamoms į pensijų kaupiamuosius fondus, kompensuoti 2015 metams skirti 142 471 575 eurus iš Lietuvos Respublikos valstybės biudžeto ir kitų valstybės piniginių išteklių.“</w:t>
      </w:r>
    </w:p>
    <w:p w:rsidR="004513D1" w:rsidRPr="0046106F" w:rsidRDefault="004513D1" w:rsidP="004513D1">
      <w:pPr>
        <w:autoSpaceDE w:val="0"/>
        <w:autoSpaceDN w:val="0"/>
        <w:adjustRightInd w:val="0"/>
        <w:rPr>
          <w:rFonts w:eastAsia="TimesNewRomanPSMT"/>
          <w:szCs w:val="24"/>
        </w:rPr>
      </w:pPr>
      <w:r w:rsidRPr="0046106F">
        <w:rPr>
          <w:rFonts w:eastAsia="TimesNewRomanPSMT"/>
          <w:szCs w:val="24"/>
        </w:rPr>
        <w:t>2. Siūlyti Lietuvos Respublikos Vyriausybei</w:t>
      </w:r>
      <w:r>
        <w:rPr>
          <w:rFonts w:eastAsia="TimesNewRomanPSMT"/>
          <w:szCs w:val="24"/>
        </w:rPr>
        <w:t>,</w:t>
      </w:r>
      <w:r w:rsidRPr="0046106F">
        <w:rPr>
          <w:rFonts w:eastAsia="TimesNewRomanPSMT"/>
          <w:szCs w:val="24"/>
        </w:rPr>
        <w:t xml:space="preserve"> rengiant Valstybinio socialinio draudimo fondo biudžeto 2016 metų rodiklių patvirtinimo įstatymo projektą ir Valstybės biudžeto ir savivaldybių biudžetų 2016 metų finansinių rodiklių</w:t>
      </w:r>
      <w:r>
        <w:rPr>
          <w:rFonts w:eastAsia="TimesNewRomanPSMT"/>
          <w:szCs w:val="24"/>
        </w:rPr>
        <w:t xml:space="preserve"> patvirtinimo įstatymo projektą, </w:t>
      </w:r>
      <w:r w:rsidRPr="0046106F">
        <w:rPr>
          <w:rFonts w:eastAsia="TimesNewRomanPSMT"/>
          <w:szCs w:val="24"/>
        </w:rPr>
        <w:t>atsižvelgti į peticijoje pateiktą pasiūlymą skirti asignavimus socialinio draudimo įmokoms, pervedamoms į pensijų kaupimo</w:t>
      </w:r>
      <w:r>
        <w:rPr>
          <w:rFonts w:eastAsia="TimesNewRomanPSMT"/>
          <w:szCs w:val="24"/>
        </w:rPr>
        <w:t xml:space="preserve"> </w:t>
      </w:r>
      <w:r w:rsidRPr="0046106F">
        <w:rPr>
          <w:rFonts w:eastAsia="TimesNewRomanPSMT"/>
          <w:szCs w:val="24"/>
        </w:rPr>
        <w:t xml:space="preserve">bendrovių valdomus pensijų fondus, kompensuoti, kaip </w:t>
      </w:r>
      <w:r>
        <w:rPr>
          <w:rFonts w:eastAsia="TimesNewRomanPSMT"/>
          <w:szCs w:val="24"/>
        </w:rPr>
        <w:t>numatyta</w:t>
      </w:r>
      <w:r w:rsidRPr="0046106F">
        <w:rPr>
          <w:rFonts w:eastAsia="TimesNewRomanPSMT"/>
          <w:szCs w:val="24"/>
        </w:rPr>
        <w:t xml:space="preserve"> Valstybinio</w:t>
      </w:r>
      <w:r>
        <w:rPr>
          <w:rFonts w:eastAsia="TimesNewRomanPSMT"/>
          <w:szCs w:val="24"/>
        </w:rPr>
        <w:t xml:space="preserve"> </w:t>
      </w:r>
      <w:r w:rsidRPr="0046106F">
        <w:rPr>
          <w:rFonts w:eastAsia="TimesNewRomanPSMT"/>
          <w:szCs w:val="24"/>
        </w:rPr>
        <w:t>socialinio draudimo į</w:t>
      </w:r>
      <w:r>
        <w:rPr>
          <w:rFonts w:eastAsia="TimesNewRomanPSMT"/>
          <w:szCs w:val="24"/>
        </w:rPr>
        <w:t>statymo 20 straipsnio 2 dalyje</w:t>
      </w:r>
      <w:r w:rsidRPr="0046106F">
        <w:rPr>
          <w:rFonts w:eastAsia="TimesNewRomanPSMT"/>
          <w:szCs w:val="24"/>
        </w:rPr>
        <w:t>.</w:t>
      </w:r>
      <w:r>
        <w:rPr>
          <w:rFonts w:eastAsia="TimesNewRomanPSMT"/>
          <w:szCs w:val="24"/>
        </w:rPr>
        <w:t xml:space="preserve"> </w:t>
      </w:r>
    </w:p>
    <w:p w:rsidR="004513D1" w:rsidRPr="00621925" w:rsidRDefault="004513D1" w:rsidP="004513D1">
      <w:pPr>
        <w:autoSpaceDE w:val="0"/>
        <w:autoSpaceDN w:val="0"/>
        <w:adjustRightInd w:val="0"/>
        <w:rPr>
          <w:rFonts w:eastAsia="TimesNewRomanPSMT"/>
          <w:szCs w:val="24"/>
        </w:rPr>
      </w:pPr>
      <w:r w:rsidRPr="0080728C">
        <w:rPr>
          <w:color w:val="000000"/>
          <w:szCs w:val="24"/>
        </w:rPr>
        <w:lastRenderedPageBreak/>
        <w:t xml:space="preserve">Komisija šį sprendimą priėmė, atsižvelgusi į Lietuvos Respublikos </w:t>
      </w:r>
      <w:r>
        <w:rPr>
          <w:color w:val="000000"/>
          <w:szCs w:val="24"/>
        </w:rPr>
        <w:t>finansų</w:t>
      </w:r>
      <w:r w:rsidRPr="0080728C">
        <w:rPr>
          <w:color w:val="000000"/>
          <w:szCs w:val="24"/>
        </w:rPr>
        <w:t xml:space="preserve"> ministerijos </w:t>
      </w:r>
      <w:r>
        <w:rPr>
          <w:color w:val="000000"/>
          <w:szCs w:val="24"/>
        </w:rPr>
        <w:t xml:space="preserve">ir </w:t>
      </w:r>
      <w:r w:rsidRPr="0080728C">
        <w:rPr>
          <w:color w:val="000000"/>
          <w:szCs w:val="24"/>
        </w:rPr>
        <w:t xml:space="preserve">Lietuvos </w:t>
      </w:r>
      <w:r w:rsidRPr="00621925">
        <w:rPr>
          <w:color w:val="000000"/>
          <w:szCs w:val="24"/>
        </w:rPr>
        <w:t xml:space="preserve">Respublikos socialinės apsaugos ir darbo ministerijos pateiktas nuomones ir </w:t>
      </w:r>
      <w:r w:rsidRPr="00621925">
        <w:rPr>
          <w:szCs w:val="24"/>
        </w:rPr>
        <w:t xml:space="preserve">manydama, kad </w:t>
      </w:r>
      <w:r>
        <w:rPr>
          <w:szCs w:val="24"/>
        </w:rPr>
        <w:t xml:space="preserve">peticijoje pateiktam siūlymui </w:t>
      </w:r>
      <w:r w:rsidRPr="00621925">
        <w:rPr>
          <w:rFonts w:eastAsia="TimesNewRomanPSMT"/>
          <w:szCs w:val="24"/>
        </w:rPr>
        <w:t xml:space="preserve">gyvendinti nėra galimybės </w:t>
      </w:r>
      <w:r>
        <w:rPr>
          <w:rFonts w:eastAsia="TimesNewRomanPSMT"/>
          <w:szCs w:val="24"/>
        </w:rPr>
        <w:t xml:space="preserve">2015 m. </w:t>
      </w:r>
      <w:r w:rsidRPr="00621925">
        <w:rPr>
          <w:rFonts w:eastAsia="TimesNewRomanPSMT"/>
          <w:szCs w:val="24"/>
        </w:rPr>
        <w:t>skirti lėšų iš</w:t>
      </w:r>
      <w:r>
        <w:rPr>
          <w:rFonts w:eastAsia="TimesNewRomanPSMT"/>
          <w:szCs w:val="24"/>
        </w:rPr>
        <w:t xml:space="preserve"> </w:t>
      </w:r>
      <w:r w:rsidRPr="00621925">
        <w:rPr>
          <w:rFonts w:eastAsia="TimesNewRomanPSMT"/>
          <w:szCs w:val="24"/>
        </w:rPr>
        <w:t>valstybės biudžeto ar kitų valstybės piniginių išteklių dėl jau prisiimtų įsipareigojimų.</w:t>
      </w:r>
    </w:p>
    <w:p w:rsidR="004513D1" w:rsidRPr="00621925" w:rsidRDefault="004513D1" w:rsidP="004513D1">
      <w:pPr>
        <w:autoSpaceDE w:val="0"/>
        <w:autoSpaceDN w:val="0"/>
        <w:adjustRightInd w:val="0"/>
        <w:rPr>
          <w:rFonts w:eastAsia="TimesNewRomanPSMT"/>
          <w:szCs w:val="24"/>
        </w:rPr>
      </w:pPr>
      <w:r w:rsidRPr="00621925">
        <w:rPr>
          <w:rFonts w:eastAsia="TimesNewRomanPSMT"/>
          <w:szCs w:val="24"/>
        </w:rPr>
        <w:t>Komisija, vadovaudamasi Valstybinio socialinio draudimo įstaty</w:t>
      </w:r>
      <w:r>
        <w:rPr>
          <w:rFonts w:eastAsia="TimesNewRomanPSMT"/>
          <w:szCs w:val="24"/>
        </w:rPr>
        <w:t xml:space="preserve">mo 20 straipsnio 2 dalies nuostata, kad </w:t>
      </w:r>
      <w:r w:rsidRPr="00CA155B">
        <w:rPr>
          <w:rFonts w:eastAsia="TimesNewRomanPSMT"/>
          <w:szCs w:val="24"/>
        </w:rPr>
        <w:t xml:space="preserve">asignavimai iš valstybės biudžeto ar kitų valstybės piniginių išteklių </w:t>
      </w:r>
      <w:r w:rsidRPr="00CA155B">
        <w:rPr>
          <w:rFonts w:eastAsia="TimesNewRomanPSMT"/>
          <w:bCs/>
          <w:szCs w:val="24"/>
        </w:rPr>
        <w:t>gali būti</w:t>
      </w:r>
      <w:r w:rsidRPr="00CA155B">
        <w:rPr>
          <w:rFonts w:eastAsia="TimesNewRomanPSMT"/>
          <w:b/>
          <w:bCs/>
          <w:szCs w:val="24"/>
        </w:rPr>
        <w:t xml:space="preserve"> </w:t>
      </w:r>
      <w:r w:rsidRPr="00CA155B">
        <w:rPr>
          <w:rFonts w:eastAsia="TimesNewRomanPSMT"/>
          <w:szCs w:val="24"/>
        </w:rPr>
        <w:t>skiriami išlaidoms,</w:t>
      </w:r>
      <w:r>
        <w:rPr>
          <w:rFonts w:eastAsia="TimesNewRomanPSMT"/>
          <w:szCs w:val="24"/>
        </w:rPr>
        <w:t xml:space="preserve"> </w:t>
      </w:r>
      <w:r w:rsidRPr="00CA155B">
        <w:rPr>
          <w:rFonts w:eastAsia="TimesNewRomanPSMT"/>
          <w:szCs w:val="24"/>
        </w:rPr>
        <w:t>susijusioms su pensijų sistemos reforma, kompensuojant socialinio draudimo įmokų sumas,</w:t>
      </w:r>
      <w:r>
        <w:rPr>
          <w:rFonts w:eastAsia="TimesNewRomanPSMT"/>
          <w:szCs w:val="24"/>
        </w:rPr>
        <w:t xml:space="preserve"> </w:t>
      </w:r>
      <w:r w:rsidRPr="00CA155B">
        <w:rPr>
          <w:rFonts w:eastAsia="TimesNewRomanPSMT"/>
          <w:szCs w:val="24"/>
        </w:rPr>
        <w:t>pervedamas į pensijų kaupimo bendrovių valdomus pensijų</w:t>
      </w:r>
      <w:r>
        <w:rPr>
          <w:rFonts w:eastAsia="TimesNewRomanPSMT"/>
          <w:szCs w:val="24"/>
        </w:rPr>
        <w:t xml:space="preserve"> fondus, </w:t>
      </w:r>
      <w:r w:rsidRPr="00621925">
        <w:rPr>
          <w:rFonts w:eastAsia="TimesNewRomanPSMT"/>
          <w:szCs w:val="24"/>
        </w:rPr>
        <w:t>taip pat nusprendė</w:t>
      </w:r>
      <w:r>
        <w:rPr>
          <w:rFonts w:eastAsia="TimesNewRomanPSMT"/>
          <w:szCs w:val="24"/>
        </w:rPr>
        <w:t xml:space="preserve"> siūlyti Vyriausybei 2016 m. </w:t>
      </w:r>
      <w:r w:rsidRPr="00621925">
        <w:rPr>
          <w:rFonts w:eastAsia="TimesNewRomanPSMT"/>
          <w:szCs w:val="24"/>
        </w:rPr>
        <w:t>skirti asignavimus socialinio draudimo įmokoms, pervedamoms į pensijų kaupimo bendrovių valdomus pensijų</w:t>
      </w:r>
      <w:r>
        <w:rPr>
          <w:rFonts w:eastAsia="TimesNewRomanPSMT"/>
          <w:szCs w:val="24"/>
        </w:rPr>
        <w:t xml:space="preserve"> fondus, kompensuoti. </w:t>
      </w:r>
    </w:p>
    <w:p w:rsidR="00D37445" w:rsidRDefault="00D37445" w:rsidP="00D37445">
      <w:pPr>
        <w:autoSpaceDE w:val="0"/>
        <w:autoSpaceDN w:val="0"/>
        <w:adjustRightInd w:val="0"/>
        <w:rPr>
          <w:szCs w:val="24"/>
        </w:rPr>
      </w:pPr>
      <w:r>
        <w:rPr>
          <w:szCs w:val="24"/>
        </w:rPr>
        <w:t>2. Komisija iš esmės išnagrinėjusi Arsenijaus Vorobjovo</w:t>
      </w:r>
      <w:r w:rsidRPr="0080728C">
        <w:rPr>
          <w:szCs w:val="24"/>
        </w:rPr>
        <w:t xml:space="preserve"> peticiją </w:t>
      </w:r>
      <w:r w:rsidRPr="00A46E4C">
        <w:rPr>
          <w:szCs w:val="24"/>
        </w:rPr>
        <w:t>„Dė</w:t>
      </w:r>
      <w:r>
        <w:rPr>
          <w:szCs w:val="24"/>
        </w:rPr>
        <w:t xml:space="preserve">l </w:t>
      </w:r>
      <w:r>
        <w:rPr>
          <w:rFonts w:eastAsia="TimesNewRomanPSMT"/>
          <w:szCs w:val="24"/>
        </w:rPr>
        <w:t>Lietuvos Respublikos mėgėjų ž</w:t>
      </w:r>
      <w:r w:rsidRPr="00B80D35">
        <w:rPr>
          <w:rFonts w:eastAsia="TimesNewRomanPSMT"/>
          <w:szCs w:val="24"/>
        </w:rPr>
        <w:t>vejybos įstatymo</w:t>
      </w:r>
      <w:r>
        <w:rPr>
          <w:szCs w:val="24"/>
        </w:rPr>
        <w:t>“,</w:t>
      </w:r>
      <w:r w:rsidRPr="00A46E4C">
        <w:rPr>
          <w:szCs w:val="24"/>
        </w:rPr>
        <w:t xml:space="preserve"> </w:t>
      </w:r>
      <w:r>
        <w:rPr>
          <w:szCs w:val="24"/>
        </w:rPr>
        <w:t xml:space="preserve">priėmė sprendimą atmesti joje pateiktą </w:t>
      </w:r>
      <w:r w:rsidRPr="00992E5A">
        <w:rPr>
          <w:szCs w:val="24"/>
        </w:rPr>
        <w:t xml:space="preserve">pasiūlymą </w:t>
      </w:r>
      <w:r w:rsidRPr="00A46E4C">
        <w:rPr>
          <w:rFonts w:eastAsia="TimesNewRomanPSMT"/>
          <w:szCs w:val="24"/>
        </w:rPr>
        <w:t xml:space="preserve">suvienodinti sąlygas žvejoti nemokamai tiek </w:t>
      </w:r>
      <w:r>
        <w:rPr>
          <w:rFonts w:eastAsia="TimesNewRomanPSMT"/>
          <w:szCs w:val="24"/>
        </w:rPr>
        <w:t xml:space="preserve">asmenims, gaunantiems valstybinio </w:t>
      </w:r>
      <w:r w:rsidRPr="00A46E4C">
        <w:rPr>
          <w:rFonts w:eastAsia="TimesNewRomanPSMT"/>
          <w:szCs w:val="24"/>
        </w:rPr>
        <w:t xml:space="preserve">socialinio </w:t>
      </w:r>
      <w:r>
        <w:rPr>
          <w:rFonts w:eastAsia="TimesNewRomanPSMT"/>
          <w:szCs w:val="24"/>
        </w:rPr>
        <w:t>draudimo senatvės pensijas, tiek asmenims, gaunantiems valstybines pareigūnų ir karių pensijas.</w:t>
      </w:r>
    </w:p>
    <w:p w:rsidR="00D37445" w:rsidRDefault="00D37445" w:rsidP="00D37445">
      <w:pPr>
        <w:autoSpaceDE w:val="0"/>
        <w:autoSpaceDN w:val="0"/>
        <w:adjustRightInd w:val="0"/>
        <w:rPr>
          <w:szCs w:val="24"/>
        </w:rPr>
      </w:pPr>
      <w:r w:rsidRPr="0080728C">
        <w:rPr>
          <w:color w:val="000000"/>
          <w:szCs w:val="24"/>
        </w:rPr>
        <w:t xml:space="preserve">Komisija šį sprendimą priėmė, atsižvelgusi į Lietuvos Respublikos </w:t>
      </w:r>
      <w:r>
        <w:rPr>
          <w:color w:val="000000"/>
          <w:szCs w:val="24"/>
        </w:rPr>
        <w:t>aplinkos</w:t>
      </w:r>
      <w:r w:rsidRPr="0080728C">
        <w:rPr>
          <w:color w:val="000000"/>
          <w:szCs w:val="24"/>
        </w:rPr>
        <w:t xml:space="preserve"> ministerijos </w:t>
      </w:r>
      <w:r>
        <w:rPr>
          <w:color w:val="000000"/>
          <w:szCs w:val="24"/>
        </w:rPr>
        <w:t xml:space="preserve">ir </w:t>
      </w:r>
      <w:r w:rsidRPr="0080728C">
        <w:rPr>
          <w:color w:val="000000"/>
          <w:szCs w:val="24"/>
        </w:rPr>
        <w:t xml:space="preserve">Lietuvos Respublikos </w:t>
      </w:r>
      <w:r>
        <w:rPr>
          <w:color w:val="000000"/>
          <w:szCs w:val="24"/>
        </w:rPr>
        <w:t>socialinės apsaugos ir darbo ministerijos pateiktas nuomones</w:t>
      </w:r>
      <w:r w:rsidRPr="0080728C">
        <w:rPr>
          <w:color w:val="000000"/>
          <w:szCs w:val="24"/>
        </w:rPr>
        <w:t xml:space="preserve"> ir </w:t>
      </w:r>
      <w:r w:rsidRPr="0080728C">
        <w:rPr>
          <w:szCs w:val="24"/>
        </w:rPr>
        <w:t xml:space="preserve">manydama, kad </w:t>
      </w:r>
      <w:r>
        <w:rPr>
          <w:szCs w:val="24"/>
        </w:rPr>
        <w:t>šio siūlymo tenkinimas galimai pažeistų</w:t>
      </w:r>
      <w:r>
        <w:rPr>
          <w:rFonts w:eastAsia="TimesNewRomanPSMT"/>
          <w:szCs w:val="24"/>
        </w:rPr>
        <w:t xml:space="preserve"> konstitucinį</w:t>
      </w:r>
      <w:r w:rsidRPr="00B80D35">
        <w:rPr>
          <w:rFonts w:eastAsia="TimesNewRomanPSMT"/>
          <w:szCs w:val="24"/>
        </w:rPr>
        <w:t xml:space="preserve"> asmenų lygiateisiš</w:t>
      </w:r>
      <w:r>
        <w:rPr>
          <w:rFonts w:eastAsia="TimesNewRomanPSMT"/>
          <w:szCs w:val="24"/>
        </w:rPr>
        <w:t>kumo principą</w:t>
      </w:r>
      <w:r w:rsidRPr="00B80D35">
        <w:rPr>
          <w:rFonts w:eastAsia="TimesNewRomanPSMT"/>
          <w:szCs w:val="24"/>
        </w:rPr>
        <w:t xml:space="preserve"> kitų darbingo amžiaus asmenų atž</w:t>
      </w:r>
      <w:r>
        <w:rPr>
          <w:rFonts w:eastAsia="TimesNewRomanPSMT"/>
          <w:szCs w:val="24"/>
        </w:rPr>
        <w:t>vilgiu</w:t>
      </w:r>
      <w:r w:rsidRPr="00B80D35">
        <w:rPr>
          <w:rFonts w:eastAsia="TimesNewRomanPSMT"/>
          <w:szCs w:val="24"/>
        </w:rPr>
        <w:t>.</w:t>
      </w:r>
    </w:p>
    <w:p w:rsidR="00D37445" w:rsidRPr="00B80D35" w:rsidRDefault="00D37445" w:rsidP="00D37445">
      <w:pPr>
        <w:autoSpaceDE w:val="0"/>
        <w:autoSpaceDN w:val="0"/>
        <w:adjustRightInd w:val="0"/>
        <w:rPr>
          <w:rFonts w:eastAsia="TimesNewRomanPSMT"/>
          <w:szCs w:val="24"/>
        </w:rPr>
      </w:pPr>
      <w:r>
        <w:rPr>
          <w:rFonts w:eastAsia="TimesNewRomanPSMT"/>
          <w:szCs w:val="24"/>
        </w:rPr>
        <w:t>P</w:t>
      </w:r>
      <w:r w:rsidRPr="00B80D35">
        <w:rPr>
          <w:rFonts w:eastAsia="TimesNewRomanPSMT"/>
          <w:szCs w:val="24"/>
        </w:rPr>
        <w:t>areigūnų ir karių valstybinės pensijos, vadovaujantis Lietuvos Respublikos pareigūnų ir karių valstybinių pensijų įstatymu (toliau – Įstatymas) skiriamos, kai asmuo išeina iš tarnybos ir yra ištarnavęs atitinkamais statutais nustatytą metų skaičių, ar yra pripažintas nedarbingu ar iš dalie</w:t>
      </w:r>
      <w:r>
        <w:rPr>
          <w:rFonts w:eastAsia="TimesNewRomanPSMT"/>
          <w:szCs w:val="24"/>
        </w:rPr>
        <w:t>s darbingu, jei atitinka kitas Į</w:t>
      </w:r>
      <w:r w:rsidRPr="00B80D35">
        <w:rPr>
          <w:rFonts w:eastAsia="TimesNewRomanPSMT"/>
          <w:szCs w:val="24"/>
        </w:rPr>
        <w:t xml:space="preserve">statyme nustatytas sąlygas. Pareigūnui ar kariui, kuriam dėl ligos ar sveikatos būklės yra nustatomas darbingumo lygis, nustatyta tvarka skiriama ir mokama ne tik pareigūnų ir karių valstybinė netekto darbingumo pensija, bet ir valstybinio socialinio draudimo netekto darbingumo pensija. Tokiu atveju, pareigūnų ir karių valstybinių pensijų gavėjai, kurie kartu yra valstybinių socialinio draudimo pensijų gavėjai, pagal </w:t>
      </w:r>
      <w:r>
        <w:rPr>
          <w:rFonts w:eastAsia="TimesNewRomanPSMT"/>
          <w:szCs w:val="24"/>
        </w:rPr>
        <w:t>Lietuvos Respublikos mėgėjų ž</w:t>
      </w:r>
      <w:r w:rsidRPr="00B80D35">
        <w:rPr>
          <w:rFonts w:eastAsia="TimesNewRomanPSMT"/>
          <w:szCs w:val="24"/>
        </w:rPr>
        <w:t>vejybos įstatymo 11 straipsnio 7 dalies nuostatą turi teisę žvejoti nemokamai, be mėgėjų žvejybos leidimų.</w:t>
      </w:r>
      <w:r>
        <w:rPr>
          <w:rFonts w:eastAsia="TimesNewRomanPSMT"/>
          <w:szCs w:val="24"/>
        </w:rPr>
        <w:t xml:space="preserve"> </w:t>
      </w:r>
      <w:r w:rsidRPr="00B80D35">
        <w:rPr>
          <w:rFonts w:eastAsia="TimesNewRomanPSMT"/>
          <w:szCs w:val="24"/>
        </w:rPr>
        <w:t xml:space="preserve">Tuo tarpu senatvės pensijos amžiaus nesukakę buvę pareigūnai ir kariai, kuriems yra paskirtos ir mokamos pensijos už ištarnautą laiką, o ne dėl ligos ar sveikatos būklės, yra darbingo amžiaus darbingi asmenys. </w:t>
      </w:r>
    </w:p>
    <w:p w:rsidR="00D37445" w:rsidRPr="00B80D35" w:rsidRDefault="00D37445" w:rsidP="00D37445">
      <w:pPr>
        <w:autoSpaceDE w:val="0"/>
        <w:autoSpaceDN w:val="0"/>
        <w:adjustRightInd w:val="0"/>
        <w:rPr>
          <w:rFonts w:eastAsia="TimesNewRomanPSMT"/>
          <w:szCs w:val="24"/>
        </w:rPr>
      </w:pPr>
      <w:r w:rsidRPr="00B80D35">
        <w:rPr>
          <w:rFonts w:eastAsia="TimesNewRomanPSMT"/>
          <w:szCs w:val="24"/>
        </w:rPr>
        <w:t>Pažymėtina, kad Lietuvos Respublikos Konstitucinis Teismas yra ne kartą konstatavęs, kad konstitucinis visų asmenų lygybės įstatymui principas būtų pažeistas, jeigu tam tikra grupė asmenų, kuriems yra skiriama teisės norma, palyginti su kitų grupių asmenimis, būtų kitaip traktuojama, nors tarp tų grupių nėra tokio pobūdžio ir tokios apimties skirtumų, kad toks nevienodas traktavimas būtų objektyviai pateisinamas.</w:t>
      </w:r>
      <w:r>
        <w:rPr>
          <w:rFonts w:eastAsia="TimesNewRomanPSMT"/>
          <w:szCs w:val="24"/>
        </w:rPr>
        <w:t xml:space="preserve"> Todėl manytina</w:t>
      </w:r>
      <w:r w:rsidRPr="00B80D35">
        <w:rPr>
          <w:rFonts w:eastAsia="TimesNewRomanPSMT"/>
          <w:szCs w:val="24"/>
        </w:rPr>
        <w:t xml:space="preserve">, kad išskirti vieną asmenų grupę – </w:t>
      </w:r>
      <w:r w:rsidRPr="00B80D35">
        <w:rPr>
          <w:rFonts w:eastAsia="TimesNewRomanPSMT"/>
          <w:szCs w:val="24"/>
        </w:rPr>
        <w:lastRenderedPageBreak/>
        <w:t>asmenis, gaunančius pareigūnų ir karių valstybines pensijas už ištarnautą laiką, o ne dėl sveikatos būklės ar ligos, nustatant jiems papildomą lengvatą suteikiant jiems teisę žvejoti nemokamai, būtų nepagrįsta, nes taip būtų pažeistas konstitucinis asmenų lygiateisiškumo principas kitų darbingo amžiaus asmenų atž</w:t>
      </w:r>
      <w:r>
        <w:rPr>
          <w:rFonts w:eastAsia="TimesNewRomanPSMT"/>
          <w:szCs w:val="24"/>
        </w:rPr>
        <w:t>vilgiu</w:t>
      </w:r>
      <w:r w:rsidRPr="00B80D35">
        <w:rPr>
          <w:rFonts w:eastAsia="TimesNewRomanPSMT"/>
          <w:szCs w:val="24"/>
        </w:rPr>
        <w:t>.</w:t>
      </w:r>
    </w:p>
    <w:p w:rsidR="00AB4EDA" w:rsidRDefault="00D37445" w:rsidP="00AB4EDA">
      <w:pPr>
        <w:rPr>
          <w:szCs w:val="24"/>
        </w:rPr>
      </w:pPr>
      <w:r>
        <w:t>3.</w:t>
      </w:r>
      <w:r w:rsidR="00AB4EDA">
        <w:t xml:space="preserve"> Komisija priėmė sprendimą Zenono Kavecko kreipimąsi „</w:t>
      </w:r>
      <w:r w:rsidR="00AB4EDA">
        <w:rPr>
          <w:szCs w:val="24"/>
        </w:rPr>
        <w:t>Dėl vandens tiekimo abonentinio mokesčio</w:t>
      </w:r>
      <w:r w:rsidR="00AB4EDA" w:rsidRPr="00891704">
        <w:rPr>
          <w:szCs w:val="24"/>
        </w:rPr>
        <w:t>“</w:t>
      </w:r>
      <w:r w:rsidR="00AB4EDA" w:rsidRPr="00AD6BDA">
        <w:rPr>
          <w:szCs w:val="24"/>
        </w:rPr>
        <w:t xml:space="preserve"> </w:t>
      </w:r>
      <w:r w:rsidR="00AB4EDA" w:rsidRPr="00EF388A">
        <w:rPr>
          <w:szCs w:val="24"/>
        </w:rPr>
        <w:t xml:space="preserve">pripažinti peticija ir priimti ją nagrinėti. </w:t>
      </w:r>
    </w:p>
    <w:p w:rsidR="00CA4EB5" w:rsidRDefault="00CA4EB5" w:rsidP="00CA4EB5">
      <w:pPr>
        <w:autoSpaceDE w:val="0"/>
        <w:autoSpaceDN w:val="0"/>
        <w:adjustRightInd w:val="0"/>
        <w:rPr>
          <w:szCs w:val="24"/>
        </w:rPr>
      </w:pPr>
      <w:r w:rsidRPr="00B61EED">
        <w:rPr>
          <w:szCs w:val="24"/>
        </w:rPr>
        <w:t xml:space="preserve">Pareiškėjas siūlo </w:t>
      </w:r>
      <w:r>
        <w:rPr>
          <w:szCs w:val="24"/>
        </w:rPr>
        <w:t>„panaikinti neteisėtai įvestą</w:t>
      </w:r>
      <w:r w:rsidRPr="00B61EED">
        <w:rPr>
          <w:szCs w:val="24"/>
        </w:rPr>
        <w:t xml:space="preserve"> vandens tiekimo abonentini </w:t>
      </w:r>
      <w:r>
        <w:rPr>
          <w:szCs w:val="24"/>
        </w:rPr>
        <w:t>mokestį</w:t>
      </w:r>
      <w:r w:rsidR="004513D1">
        <w:rPr>
          <w:szCs w:val="24"/>
        </w:rPr>
        <w:t xml:space="preserve"> 0,73euro“.</w:t>
      </w:r>
      <w:bookmarkStart w:id="0" w:name="_GoBack"/>
      <w:bookmarkEnd w:id="0"/>
    </w:p>
    <w:p w:rsidR="00957D97" w:rsidRPr="005B099D" w:rsidRDefault="00CA4EB5" w:rsidP="00957D97">
      <w:pPr>
        <w:rPr>
          <w:szCs w:val="24"/>
        </w:rPr>
      </w:pPr>
      <w:r>
        <w:rPr>
          <w:szCs w:val="24"/>
        </w:rPr>
        <w:t>4.</w:t>
      </w:r>
      <w:r w:rsidR="00957D97">
        <w:rPr>
          <w:szCs w:val="24"/>
        </w:rPr>
        <w:t xml:space="preserve"> Komisija, vadovaudamasi Lietuvos R</w:t>
      </w:r>
      <w:r w:rsidR="00957D97" w:rsidRPr="005B099D">
        <w:rPr>
          <w:szCs w:val="24"/>
        </w:rPr>
        <w:t xml:space="preserve">espublikos peticijų įstatymo 2 straipsnio 4 dalimi, </w:t>
      </w:r>
      <w:r w:rsidR="00957D97">
        <w:rPr>
          <w:szCs w:val="24"/>
        </w:rPr>
        <w:t>priėmė sprendimą</w:t>
      </w:r>
      <w:r w:rsidR="00957D97" w:rsidRPr="005B099D">
        <w:rPr>
          <w:szCs w:val="24"/>
        </w:rPr>
        <w:t xml:space="preserve"> </w:t>
      </w:r>
      <w:r w:rsidR="0020365C">
        <w:rPr>
          <w:szCs w:val="24"/>
        </w:rPr>
        <w:t xml:space="preserve">Gintauto </w:t>
      </w:r>
      <w:r w:rsidR="00957D97">
        <w:rPr>
          <w:szCs w:val="24"/>
        </w:rPr>
        <w:t>Tamošaičio</w:t>
      </w:r>
      <w:r w:rsidR="0020365C">
        <w:rPr>
          <w:szCs w:val="24"/>
        </w:rPr>
        <w:t xml:space="preserve"> kreipimo</w:t>
      </w:r>
      <w:r w:rsidR="00957D97" w:rsidRPr="005B099D">
        <w:rPr>
          <w:szCs w:val="24"/>
        </w:rPr>
        <w:t>si „</w:t>
      </w:r>
      <w:r w:rsidR="00957D97" w:rsidRPr="005B099D">
        <w:rPr>
          <w:bCs/>
          <w:szCs w:val="24"/>
        </w:rPr>
        <w:t>Dėl Darbo kodekso patvirtinimo, įsigaliojimo ir įgyvendini</w:t>
      </w:r>
      <w:r w:rsidR="00957D97">
        <w:rPr>
          <w:bCs/>
          <w:szCs w:val="24"/>
        </w:rPr>
        <w:t>mo įstatymo projekto Nr. XIIP-3234“ nenagrinėti Peti</w:t>
      </w:r>
      <w:r w:rsidR="00957D97" w:rsidRPr="005B099D">
        <w:rPr>
          <w:bCs/>
          <w:szCs w:val="24"/>
        </w:rPr>
        <w:t>c</w:t>
      </w:r>
      <w:r w:rsidR="00957D97">
        <w:rPr>
          <w:bCs/>
          <w:szCs w:val="24"/>
        </w:rPr>
        <w:t>i</w:t>
      </w:r>
      <w:r w:rsidR="00957D97" w:rsidRPr="005B099D">
        <w:rPr>
          <w:bCs/>
          <w:szCs w:val="24"/>
        </w:rPr>
        <w:t xml:space="preserve">jų įstatyme </w:t>
      </w:r>
      <w:r w:rsidR="0020365C">
        <w:rPr>
          <w:bCs/>
          <w:szCs w:val="24"/>
        </w:rPr>
        <w:t>nustatytais pagrindais –</w:t>
      </w:r>
      <w:r w:rsidR="00957D97">
        <w:rPr>
          <w:bCs/>
          <w:szCs w:val="24"/>
        </w:rPr>
        <w:t xml:space="preserve"> kreipimesi pateikto siūlymo nagrinėjimas nepriklauso Komisijos kompetencijai.</w:t>
      </w:r>
      <w:r w:rsidR="00957D97" w:rsidRPr="005B099D">
        <w:rPr>
          <w:szCs w:val="24"/>
        </w:rPr>
        <w:t xml:space="preserve"> </w:t>
      </w:r>
    </w:p>
    <w:p w:rsidR="00957D97" w:rsidRPr="002E709A" w:rsidRDefault="00957D97" w:rsidP="00957D97">
      <w:pPr>
        <w:rPr>
          <w:szCs w:val="24"/>
        </w:rPr>
      </w:pPr>
      <w:r w:rsidRPr="005B099D">
        <w:rPr>
          <w:szCs w:val="24"/>
        </w:rPr>
        <w:t>Kreipimųsi (peticijų) pateikimo ir nagrinėjimo tvarką nustato specialus Lietuvos Respublikos peticijų įstatymas, kuriame yra nustatyti visi svarbiausi peticijos</w:t>
      </w:r>
      <w:r w:rsidRPr="00170D95">
        <w:rPr>
          <w:szCs w:val="24"/>
        </w:rPr>
        <w:t xml:space="preserve"> teisės</w:t>
      </w:r>
      <w:r>
        <w:rPr>
          <w:szCs w:val="24"/>
        </w:rPr>
        <w:t xml:space="preserve"> įgyvendinimo </w:t>
      </w:r>
      <w:r w:rsidRPr="002E709A">
        <w:rPr>
          <w:szCs w:val="24"/>
        </w:rPr>
        <w:t>tvarkos elementai: dėl ko galima kreiptis su peticija, kurioms viešosios valdžios institucijoms gali būti paduodama peticija, formalūs reikalavimai, kuriuos turi atitikti peticija, peticijos padavimo tvarka ir kt.</w:t>
      </w:r>
    </w:p>
    <w:p w:rsidR="00957D97" w:rsidRDefault="00957D97" w:rsidP="00957D97">
      <w:pPr>
        <w:rPr>
          <w:szCs w:val="24"/>
        </w:rPr>
      </w:pPr>
      <w:r w:rsidRPr="002E709A">
        <w:rPr>
          <w:szCs w:val="24"/>
        </w:rPr>
        <w:t xml:space="preserve">Peticijų įstatymo 2 straipsnio 4 dalyje yra nustatyta, kad </w:t>
      </w:r>
      <w:r>
        <w:rPr>
          <w:szCs w:val="24"/>
        </w:rPr>
        <w:t>peticija –</w:t>
      </w:r>
      <w:r w:rsidRPr="002E709A">
        <w:rPr>
          <w:szCs w:val="24"/>
        </w:rPr>
        <w:t xml:space="preserve"> rašytinis arba elektroninis pareiškėjo kreipimasis į Seimą, Vyriausybę ar savivaldybės</w:t>
      </w:r>
      <w:r w:rsidRPr="002E709A">
        <w:rPr>
          <w:b/>
          <w:szCs w:val="24"/>
        </w:rPr>
        <w:t xml:space="preserve"> </w:t>
      </w:r>
      <w:r w:rsidRPr="002E709A">
        <w:rPr>
          <w:szCs w:val="24"/>
        </w:rPr>
        <w:t>institucijas su rei</w:t>
      </w:r>
      <w:r>
        <w:rPr>
          <w:szCs w:val="24"/>
        </w:rPr>
        <w:t xml:space="preserve">kalavimais ar siūlymais spręsti </w:t>
      </w:r>
      <w:r w:rsidRPr="002E709A">
        <w:rPr>
          <w:szCs w:val="24"/>
        </w:rPr>
        <w:t>klausimus, kai tam reikia priimti naują teisės aktą, pakeisti, papildyti ar pripažinti netekusi</w:t>
      </w:r>
      <w:r>
        <w:rPr>
          <w:szCs w:val="24"/>
        </w:rPr>
        <w:t xml:space="preserve">u galios galiojantį teisės aktą, tačiau </w:t>
      </w:r>
      <w:r w:rsidR="0020365C">
        <w:rPr>
          <w:szCs w:val="24"/>
        </w:rPr>
        <w:t>pareiškėjas siūlo</w:t>
      </w:r>
      <w:r>
        <w:rPr>
          <w:szCs w:val="24"/>
        </w:rPr>
        <w:t xml:space="preserve"> pakeisti</w:t>
      </w:r>
      <w:r w:rsidRPr="002E709A">
        <w:rPr>
          <w:szCs w:val="24"/>
        </w:rPr>
        <w:t xml:space="preserve"> </w:t>
      </w:r>
      <w:r>
        <w:rPr>
          <w:szCs w:val="24"/>
        </w:rPr>
        <w:t>projektą, o ne galiojantį teisės aktą.</w:t>
      </w:r>
    </w:p>
    <w:p w:rsidR="00957D97" w:rsidRDefault="00957D97" w:rsidP="00957D97">
      <w:pPr>
        <w:pStyle w:val="Pagrindiniotekstotrauka2"/>
        <w:spacing w:before="0" w:beforeAutospacing="0" w:after="0" w:afterAutospacing="0" w:line="360" w:lineRule="auto"/>
        <w:ind w:firstLine="567"/>
        <w:jc w:val="both"/>
        <w:rPr>
          <w:bCs/>
        </w:rPr>
      </w:pPr>
      <w:r w:rsidRPr="00B241C8">
        <w:t>Komisija</w:t>
      </w:r>
      <w:r>
        <w:t>,</w:t>
      </w:r>
      <w:r w:rsidRPr="00B241C8">
        <w:t xml:space="preserve"> </w:t>
      </w:r>
      <w:r>
        <w:t>vadovaudama</w:t>
      </w:r>
      <w:r w:rsidRPr="00B241C8">
        <w:t xml:space="preserve">si Lietuvos Respublikos Seimo statuto 88 straipsnio 2 dalies 1 punktu, taip pat nusprendė šį kreipimąsi perduoti Seimo Posėdžių sekretoriatui </w:t>
      </w:r>
      <w:r>
        <w:t xml:space="preserve">užregistruoti </w:t>
      </w:r>
      <w:r w:rsidRPr="00B241C8">
        <w:t>jį</w:t>
      </w:r>
      <w:r>
        <w:t xml:space="preserve"> ir </w:t>
      </w:r>
      <w:r w:rsidRPr="00B241C8">
        <w:t xml:space="preserve">pridėti prie </w:t>
      </w:r>
      <w:r w:rsidRPr="005B099D">
        <w:rPr>
          <w:bCs/>
        </w:rPr>
        <w:t>Darbo kodekso patvirtinimo, įsigaliojimo ir įgyvendini</w:t>
      </w:r>
      <w:r>
        <w:rPr>
          <w:bCs/>
        </w:rPr>
        <w:t>mo įstatymo projekto Nr. XIIP-</w:t>
      </w:r>
      <w:r w:rsidRPr="005B099D">
        <w:rPr>
          <w:bCs/>
        </w:rPr>
        <w:t>3234</w:t>
      </w:r>
      <w:r>
        <w:rPr>
          <w:bCs/>
        </w:rPr>
        <w:t>.</w:t>
      </w:r>
    </w:p>
    <w:p w:rsidR="0020365C" w:rsidRDefault="0020365C" w:rsidP="0020365C">
      <w:pPr>
        <w:rPr>
          <w:szCs w:val="24"/>
        </w:rPr>
      </w:pPr>
      <w:r>
        <w:rPr>
          <w:bCs/>
        </w:rPr>
        <w:t xml:space="preserve">5. Komisija nusprendė </w:t>
      </w:r>
      <w:r>
        <w:rPr>
          <w:szCs w:val="24"/>
        </w:rPr>
        <w:t xml:space="preserve">Arvydo Edvardo </w:t>
      </w:r>
      <w:proofErr w:type="spellStart"/>
      <w:r>
        <w:rPr>
          <w:szCs w:val="24"/>
        </w:rPr>
        <w:t>Čiūto</w:t>
      </w:r>
      <w:proofErr w:type="spellEnd"/>
      <w:r w:rsidR="0008535F">
        <w:rPr>
          <w:szCs w:val="24"/>
        </w:rPr>
        <w:t xml:space="preserve"> kreipimą</w:t>
      </w:r>
      <w:r>
        <w:rPr>
          <w:szCs w:val="24"/>
        </w:rPr>
        <w:t>si „Dėl rangos ir autorinių darbo sutarčių įtraukimo į darbo stažo laiką“ pripažinti peticija ir priimti ją nagrinėti.</w:t>
      </w:r>
    </w:p>
    <w:p w:rsidR="0008535F" w:rsidRDefault="0008535F" w:rsidP="0008535F">
      <w:pPr>
        <w:autoSpaceDE w:val="0"/>
        <w:autoSpaceDN w:val="0"/>
        <w:adjustRightInd w:val="0"/>
        <w:ind w:firstLine="0"/>
        <w:rPr>
          <w:rFonts w:eastAsia="ArialMT" w:cs="Times New Roman"/>
          <w:szCs w:val="24"/>
        </w:rPr>
      </w:pPr>
      <w:r>
        <w:rPr>
          <w:rFonts w:cs="Times New Roman"/>
          <w:szCs w:val="24"/>
        </w:rPr>
        <w:tab/>
      </w:r>
      <w:r w:rsidRPr="008D572C">
        <w:rPr>
          <w:rFonts w:cs="Times New Roman"/>
          <w:szCs w:val="24"/>
        </w:rPr>
        <w:t>Pareiškėjas siūlo</w:t>
      </w:r>
      <w:r w:rsidRPr="008D572C">
        <w:rPr>
          <w:rFonts w:eastAsia="ArialMT" w:cs="Times New Roman"/>
          <w:szCs w:val="24"/>
        </w:rPr>
        <w:t xml:space="preserve"> </w:t>
      </w:r>
      <w:r>
        <w:rPr>
          <w:rFonts w:eastAsia="ArialMT" w:cs="Times New Roman"/>
          <w:szCs w:val="24"/>
        </w:rPr>
        <w:t>„</w:t>
      </w:r>
      <w:r w:rsidRPr="008D572C">
        <w:rPr>
          <w:rFonts w:eastAsia="ArialMT" w:cs="Times New Roman"/>
          <w:szCs w:val="24"/>
        </w:rPr>
        <w:t>sprę</w:t>
      </w:r>
      <w:r>
        <w:rPr>
          <w:rFonts w:eastAsia="ArialMT" w:cs="Times New Roman"/>
          <w:szCs w:val="24"/>
        </w:rPr>
        <w:t>sti t</w:t>
      </w:r>
      <w:r w:rsidRPr="008D572C">
        <w:rPr>
          <w:rFonts w:eastAsia="ArialMT" w:cs="Times New Roman"/>
          <w:szCs w:val="24"/>
        </w:rPr>
        <w:t>eisės akto, dėl darbo pagal rangos ir</w:t>
      </w:r>
      <w:r>
        <w:rPr>
          <w:rFonts w:eastAsia="ArialMT" w:cs="Times New Roman"/>
          <w:szCs w:val="24"/>
        </w:rPr>
        <w:t xml:space="preserve"> </w:t>
      </w:r>
      <w:r w:rsidRPr="008D572C">
        <w:rPr>
          <w:rFonts w:eastAsia="ArialMT" w:cs="Times New Roman"/>
          <w:szCs w:val="24"/>
        </w:rPr>
        <w:t>autorines sutartis laikotarpių įtraukimo j darbo stažą</w:t>
      </w:r>
      <w:r>
        <w:rPr>
          <w:rFonts w:eastAsia="ArialMT" w:cs="Times New Roman"/>
          <w:szCs w:val="24"/>
        </w:rPr>
        <w:t>, papildymo ar pakeitimo.</w:t>
      </w:r>
    </w:p>
    <w:p w:rsidR="00552464" w:rsidRDefault="0008535F" w:rsidP="00552464">
      <w:pPr>
        <w:rPr>
          <w:szCs w:val="24"/>
        </w:rPr>
      </w:pPr>
      <w:r>
        <w:rPr>
          <w:bCs/>
        </w:rPr>
        <w:t xml:space="preserve">6. </w:t>
      </w:r>
      <w:r w:rsidR="00552464">
        <w:rPr>
          <w:bCs/>
        </w:rPr>
        <w:t xml:space="preserve">Komisija nusprendė </w:t>
      </w:r>
      <w:r w:rsidR="00552464">
        <w:rPr>
          <w:szCs w:val="24"/>
        </w:rPr>
        <w:t>Dariaus Bučo kreipimą</w:t>
      </w:r>
      <w:r>
        <w:rPr>
          <w:szCs w:val="24"/>
        </w:rPr>
        <w:t xml:space="preserve">si „Dėl Lietuvos Respublikos bausmių vykdymo kodekso </w:t>
      </w:r>
      <w:r w:rsidRPr="00473CCA">
        <w:rPr>
          <w:szCs w:val="24"/>
        </w:rPr>
        <w:t>papildymo 157</w:t>
      </w:r>
      <w:r w:rsidRPr="00473CCA">
        <w:rPr>
          <w:szCs w:val="24"/>
          <w:vertAlign w:val="superscript"/>
        </w:rPr>
        <w:t>1</w:t>
      </w:r>
      <w:r w:rsidRPr="00473CCA">
        <w:rPr>
          <w:szCs w:val="24"/>
        </w:rPr>
        <w:t xml:space="preserve"> straipsniu“</w:t>
      </w:r>
      <w:r w:rsidR="00552464" w:rsidRPr="00552464">
        <w:rPr>
          <w:szCs w:val="24"/>
        </w:rPr>
        <w:t xml:space="preserve"> </w:t>
      </w:r>
      <w:r w:rsidR="00552464">
        <w:rPr>
          <w:szCs w:val="24"/>
        </w:rPr>
        <w:t>pripažinti peticija ir priimti ją nagrinėti.</w:t>
      </w:r>
    </w:p>
    <w:p w:rsidR="008F3CBC" w:rsidRDefault="008F3CBC" w:rsidP="008F3CBC">
      <w:pPr>
        <w:rPr>
          <w:szCs w:val="24"/>
        </w:rPr>
      </w:pPr>
      <w:r>
        <w:rPr>
          <w:szCs w:val="24"/>
        </w:rPr>
        <w:t>Pareiškėjas siūlo papildyti Lietuvos Respublikos bausmių vykdymo kodeksą nauju 157</w:t>
      </w:r>
      <w:r w:rsidRPr="005A0AFA">
        <w:rPr>
          <w:szCs w:val="24"/>
          <w:vertAlign w:val="superscript"/>
        </w:rPr>
        <w:t>1</w:t>
      </w:r>
      <w:r>
        <w:rPr>
          <w:szCs w:val="24"/>
        </w:rPr>
        <w:t xml:space="preserve">  straipsniu, kuris numatytų lygtinį paleidimą už užstatą.</w:t>
      </w:r>
    </w:p>
    <w:p w:rsidR="00E83E13" w:rsidRPr="00DF7C24" w:rsidRDefault="0008535F" w:rsidP="00E83E13">
      <w:pPr>
        <w:rPr>
          <w:szCs w:val="24"/>
        </w:rPr>
      </w:pPr>
      <w:r>
        <w:rPr>
          <w:szCs w:val="24"/>
        </w:rPr>
        <w:lastRenderedPageBreak/>
        <w:t>7.</w:t>
      </w:r>
      <w:r w:rsidR="00E83E13">
        <w:rPr>
          <w:szCs w:val="24"/>
        </w:rPr>
        <w:t xml:space="preserve"> </w:t>
      </w:r>
      <w:r w:rsidR="00E83E13">
        <w:rPr>
          <w:bCs/>
        </w:rPr>
        <w:t>Komisija,</w:t>
      </w:r>
      <w:r w:rsidR="00E83E13" w:rsidRPr="00DF7C24">
        <w:rPr>
          <w:szCs w:val="24"/>
        </w:rPr>
        <w:t xml:space="preserve"> </w:t>
      </w:r>
      <w:r w:rsidR="00E83E13">
        <w:rPr>
          <w:szCs w:val="24"/>
        </w:rPr>
        <w:t>vadovaudamasi</w:t>
      </w:r>
      <w:r w:rsidR="00E83E13" w:rsidRPr="00DF7C24">
        <w:rPr>
          <w:szCs w:val="24"/>
        </w:rPr>
        <w:t xml:space="preserve"> Lietuvos Respublikos peticijų įstatymo 3 straipsniu ir 9 straipsnio 3 dalies </w:t>
      </w:r>
      <w:r w:rsidR="00E83E13">
        <w:rPr>
          <w:szCs w:val="24"/>
        </w:rPr>
        <w:t xml:space="preserve">1 ir </w:t>
      </w:r>
      <w:r w:rsidR="00E83E13" w:rsidRPr="00DF7C24">
        <w:rPr>
          <w:szCs w:val="24"/>
        </w:rPr>
        <w:t>4 punkt</w:t>
      </w:r>
      <w:r w:rsidR="00E83E13">
        <w:rPr>
          <w:szCs w:val="24"/>
        </w:rPr>
        <w:t>ais</w:t>
      </w:r>
      <w:r w:rsidR="00E83E13" w:rsidRPr="00DF7C24">
        <w:rPr>
          <w:szCs w:val="24"/>
        </w:rPr>
        <w:t xml:space="preserve">, </w:t>
      </w:r>
      <w:r w:rsidR="00E83E13">
        <w:rPr>
          <w:szCs w:val="24"/>
        </w:rPr>
        <w:t>priėmė sprendimą</w:t>
      </w:r>
      <w:r w:rsidR="00E83E13" w:rsidRPr="00DF7C24">
        <w:rPr>
          <w:szCs w:val="24"/>
        </w:rPr>
        <w:t xml:space="preserve"> </w:t>
      </w:r>
      <w:r w:rsidR="00E83E13">
        <w:rPr>
          <w:szCs w:val="24"/>
        </w:rPr>
        <w:t>Vinco Jokimo</w:t>
      </w:r>
      <w:r w:rsidR="00E83E13" w:rsidRPr="00DF7C24">
        <w:rPr>
          <w:szCs w:val="24"/>
        </w:rPr>
        <w:t xml:space="preserve"> peticijos </w:t>
      </w:r>
      <w:r w:rsidR="00E83E13">
        <w:rPr>
          <w:szCs w:val="24"/>
        </w:rPr>
        <w:t xml:space="preserve">„Dėl </w:t>
      </w:r>
      <w:r w:rsidR="00E83E13" w:rsidRPr="00DF7C24">
        <w:rPr>
          <w:szCs w:val="24"/>
        </w:rPr>
        <w:t>Lietuvos Respublikos valstybės apdovanojimų įstatymo pakeitimo ir papildymo“</w:t>
      </w:r>
      <w:r w:rsidR="00E83E13">
        <w:rPr>
          <w:szCs w:val="24"/>
        </w:rPr>
        <w:t xml:space="preserve"> nepripažinti peticija.</w:t>
      </w:r>
    </w:p>
    <w:p w:rsidR="00E83E13" w:rsidRPr="00E83E13" w:rsidRDefault="00E83E13" w:rsidP="00E83E13">
      <w:pPr>
        <w:rPr>
          <w:rFonts w:cs="Times New Roman"/>
          <w:szCs w:val="24"/>
        </w:rPr>
      </w:pPr>
      <w:r w:rsidRPr="00584334">
        <w:rPr>
          <w:szCs w:val="24"/>
        </w:rPr>
        <w:t xml:space="preserve">Peticijų įstatymo 3 straipsnio 2 dalyje yra nustatyta, kad kreipimesi negali būti keliami tokie reikalavimai ir siūlymai, kurių išsprendimas varžytų kitų žmonių teises ir laisves, </w:t>
      </w:r>
      <w:r>
        <w:rPr>
          <w:szCs w:val="24"/>
        </w:rPr>
        <w:t>o Pet</w:t>
      </w:r>
      <w:r w:rsidRPr="00584334">
        <w:rPr>
          <w:szCs w:val="24"/>
        </w:rPr>
        <w:t>ic</w:t>
      </w:r>
      <w:r>
        <w:rPr>
          <w:szCs w:val="24"/>
        </w:rPr>
        <w:t>i</w:t>
      </w:r>
      <w:r w:rsidRPr="00584334">
        <w:rPr>
          <w:szCs w:val="24"/>
        </w:rPr>
        <w:t>jų įstatymo 9 straipsnio 3 dalies 1</w:t>
      </w:r>
      <w:r>
        <w:rPr>
          <w:szCs w:val="24"/>
        </w:rPr>
        <w:t xml:space="preserve"> ir 4 punktuose</w:t>
      </w:r>
      <w:r w:rsidRPr="00584334">
        <w:rPr>
          <w:szCs w:val="24"/>
        </w:rPr>
        <w:t xml:space="preserve"> – kad kreipimasis nepripažįstamas peticija, jei jis neatitinka </w:t>
      </w:r>
      <w:r>
        <w:rPr>
          <w:szCs w:val="24"/>
        </w:rPr>
        <w:t>Peticijų</w:t>
      </w:r>
      <w:r w:rsidRPr="00584334">
        <w:rPr>
          <w:szCs w:val="24"/>
        </w:rPr>
        <w:t xml:space="preserve"> įs</w:t>
      </w:r>
      <w:r>
        <w:rPr>
          <w:szCs w:val="24"/>
        </w:rPr>
        <w:t xml:space="preserve">tatymo 3 straipsnio reikalavimų </w:t>
      </w:r>
      <w:r w:rsidRPr="00E83E13">
        <w:rPr>
          <w:rFonts w:cs="Times New Roman"/>
          <w:szCs w:val="24"/>
        </w:rPr>
        <w:t xml:space="preserve">ir </w:t>
      </w:r>
      <w:r w:rsidRPr="00E83E13">
        <w:rPr>
          <w:rStyle w:val="Typewriter"/>
          <w:rFonts w:ascii="Times New Roman" w:hAnsi="Times New Roman" w:cs="Times New Roman"/>
          <w:sz w:val="24"/>
          <w:szCs w:val="24"/>
        </w:rPr>
        <w:t>pareiškėjas visiškai nepagrindžia kreipimesi išdėstytų reikalavimų ir siūlymų ar kitaip piktnaudžiauja peticijos teise.</w:t>
      </w:r>
    </w:p>
    <w:p w:rsidR="00E83E13" w:rsidRPr="00DA6AB0" w:rsidRDefault="00E83E13" w:rsidP="00E83E13">
      <w:pPr>
        <w:rPr>
          <w:rFonts w:eastAsia="TimesNewRomanPSMT"/>
          <w:szCs w:val="24"/>
        </w:rPr>
      </w:pPr>
      <w:r>
        <w:rPr>
          <w:szCs w:val="24"/>
        </w:rPr>
        <w:t>Pareiškėjas savo peticijoje reikalauja</w:t>
      </w:r>
      <w:r w:rsidRPr="00DA6AB0">
        <w:rPr>
          <w:szCs w:val="24"/>
        </w:rPr>
        <w:t xml:space="preserve"> </w:t>
      </w:r>
      <w:r w:rsidRPr="00DA6AB0">
        <w:rPr>
          <w:rFonts w:eastAsia="TimesNewRomanPSMT"/>
          <w:szCs w:val="24"/>
        </w:rPr>
        <w:t xml:space="preserve">pakeisti ir papildyti Lietuvos Respublikos </w:t>
      </w:r>
      <w:r>
        <w:rPr>
          <w:rFonts w:eastAsia="TimesNewRomanPSMT"/>
          <w:szCs w:val="24"/>
        </w:rPr>
        <w:t>v</w:t>
      </w:r>
      <w:r w:rsidRPr="00DA6AB0">
        <w:rPr>
          <w:rFonts w:eastAsia="TimesNewRomanPSMT"/>
          <w:szCs w:val="24"/>
        </w:rPr>
        <w:t>alsty</w:t>
      </w:r>
      <w:r>
        <w:rPr>
          <w:rFonts w:eastAsia="TimesNewRomanPSMT"/>
          <w:szCs w:val="24"/>
        </w:rPr>
        <w:t>bės apdovanojimų įstatymo 4 straipsnio</w:t>
      </w:r>
      <w:r w:rsidRPr="00DA6AB0">
        <w:rPr>
          <w:rFonts w:eastAsia="TimesNewRomanPSMT"/>
          <w:szCs w:val="24"/>
        </w:rPr>
        <w:t xml:space="preserve"> 4 d</w:t>
      </w:r>
      <w:r>
        <w:rPr>
          <w:rFonts w:eastAsia="TimesNewRomanPSMT"/>
          <w:szCs w:val="24"/>
        </w:rPr>
        <w:t>alį, joje numatant, kad 1939 m. rugpjūčio 23 d.</w:t>
      </w:r>
      <w:r w:rsidRPr="00DA6AB0">
        <w:rPr>
          <w:rFonts w:eastAsia="TimesNewRomanPSMT"/>
          <w:szCs w:val="24"/>
        </w:rPr>
        <w:t xml:space="preserve"> Molotov</w:t>
      </w:r>
      <w:r>
        <w:rPr>
          <w:rFonts w:eastAsia="TimesNewRomanPSMT"/>
          <w:szCs w:val="24"/>
        </w:rPr>
        <w:t>o-</w:t>
      </w:r>
      <w:proofErr w:type="spellStart"/>
      <w:r>
        <w:rPr>
          <w:rFonts w:eastAsia="TimesNewRomanPSMT"/>
          <w:szCs w:val="24"/>
        </w:rPr>
        <w:t>Rib</w:t>
      </w:r>
      <w:r w:rsidRPr="00DA6AB0">
        <w:rPr>
          <w:rFonts w:eastAsia="TimesNewRomanPSMT"/>
          <w:szCs w:val="24"/>
        </w:rPr>
        <w:t>entrop</w:t>
      </w:r>
      <w:r>
        <w:rPr>
          <w:rFonts w:eastAsia="TimesNewRomanPSMT"/>
          <w:szCs w:val="24"/>
        </w:rPr>
        <w:t>o</w:t>
      </w:r>
      <w:proofErr w:type="spellEnd"/>
      <w:r>
        <w:rPr>
          <w:rFonts w:eastAsia="TimesNewRomanPSMT"/>
          <w:szCs w:val="24"/>
        </w:rPr>
        <w:t xml:space="preserve"> pakto, slaptojo 1940 m. sausio 10 d.</w:t>
      </w:r>
      <w:r w:rsidRPr="00DA6AB0">
        <w:rPr>
          <w:rFonts w:eastAsia="TimesNewRomanPSMT"/>
          <w:szCs w:val="24"/>
        </w:rPr>
        <w:t xml:space="preserve"> pakto tarp hitlerinės Vokietijos ir stalininės Sovietų Sąjungos nuostatas įgyvendinantiems Lietuvos valstybei nusipelniusiems Lietuvos Respublikos piliečiams, asmenims be pilietybės ir užsieniečiams pagerbti būtų įs</w:t>
      </w:r>
      <w:r>
        <w:rPr>
          <w:rFonts w:eastAsia="TimesNewRomanPSMT"/>
          <w:szCs w:val="24"/>
        </w:rPr>
        <w:t>teigtas ir skiriamas ordinas</w:t>
      </w:r>
      <w:r w:rsidRPr="00DA6AB0">
        <w:rPr>
          <w:rFonts w:eastAsia="TimesNewRomanPSMT"/>
          <w:szCs w:val="24"/>
        </w:rPr>
        <w:t xml:space="preserve"> „Už nuopelnus įgyvendinant </w:t>
      </w:r>
      <w:r>
        <w:rPr>
          <w:rFonts w:eastAsia="TimesNewRomanPSMT"/>
          <w:szCs w:val="24"/>
        </w:rPr>
        <w:t>1939 m. rugpjūčio 23 d.</w:t>
      </w:r>
      <w:r w:rsidRPr="00DA6AB0">
        <w:rPr>
          <w:rFonts w:eastAsia="TimesNewRomanPSMT"/>
          <w:szCs w:val="24"/>
        </w:rPr>
        <w:t xml:space="preserve"> Molotov</w:t>
      </w:r>
      <w:r>
        <w:rPr>
          <w:rFonts w:eastAsia="TimesNewRomanPSMT"/>
          <w:szCs w:val="24"/>
        </w:rPr>
        <w:t>o-</w:t>
      </w:r>
      <w:proofErr w:type="spellStart"/>
      <w:r>
        <w:rPr>
          <w:rFonts w:eastAsia="TimesNewRomanPSMT"/>
          <w:szCs w:val="24"/>
        </w:rPr>
        <w:t>Rib</w:t>
      </w:r>
      <w:r w:rsidRPr="00DA6AB0">
        <w:rPr>
          <w:rFonts w:eastAsia="TimesNewRomanPSMT"/>
          <w:szCs w:val="24"/>
        </w:rPr>
        <w:t>entrop</w:t>
      </w:r>
      <w:r>
        <w:rPr>
          <w:rFonts w:eastAsia="TimesNewRomanPSMT"/>
          <w:szCs w:val="24"/>
        </w:rPr>
        <w:t>o</w:t>
      </w:r>
      <w:proofErr w:type="spellEnd"/>
      <w:r>
        <w:rPr>
          <w:rFonts w:eastAsia="TimesNewRomanPSMT"/>
          <w:szCs w:val="24"/>
        </w:rPr>
        <w:t xml:space="preserve"> paktą</w:t>
      </w:r>
      <w:r w:rsidRPr="00DA6AB0">
        <w:rPr>
          <w:rFonts w:eastAsia="TimesNewRomanPSMT"/>
          <w:szCs w:val="24"/>
        </w:rPr>
        <w:t>“</w:t>
      </w:r>
      <w:r>
        <w:rPr>
          <w:rFonts w:eastAsia="TimesNewRomanPSMT"/>
          <w:szCs w:val="24"/>
        </w:rPr>
        <w:t>, taip pat reikalauja šiuo medaliu apdovanoti</w:t>
      </w:r>
      <w:r w:rsidRPr="00DA6AB0">
        <w:rPr>
          <w:rFonts w:eastAsia="TimesNewRomanPSMT"/>
          <w:szCs w:val="24"/>
        </w:rPr>
        <w:t xml:space="preserve"> </w:t>
      </w:r>
      <w:r>
        <w:rPr>
          <w:rFonts w:eastAsia="TimesNewRomanPSMT"/>
          <w:szCs w:val="24"/>
        </w:rPr>
        <w:t>dalį Kauno apskrities vyriausiojo</w:t>
      </w:r>
      <w:r w:rsidRPr="00DA6AB0">
        <w:rPr>
          <w:rFonts w:eastAsia="TimesNewRomanPSMT"/>
          <w:szCs w:val="24"/>
        </w:rPr>
        <w:t xml:space="preserve"> policijos </w:t>
      </w:r>
      <w:r>
        <w:rPr>
          <w:rFonts w:eastAsia="TimesNewRomanPSMT"/>
          <w:szCs w:val="24"/>
        </w:rPr>
        <w:t>komisariato pareigūnų ir Kauno apylinkės teismo teisėjų.</w:t>
      </w:r>
    </w:p>
    <w:p w:rsidR="00E83E13" w:rsidRPr="00EE3BC9" w:rsidRDefault="00E83E13" w:rsidP="00E83E13">
      <w:pPr>
        <w:autoSpaceDE w:val="0"/>
        <w:autoSpaceDN w:val="0"/>
        <w:adjustRightInd w:val="0"/>
        <w:rPr>
          <w:szCs w:val="24"/>
        </w:rPr>
      </w:pPr>
      <w:r>
        <w:rPr>
          <w:rFonts w:eastAsia="TimesNewRomanPSMT"/>
          <w:szCs w:val="24"/>
        </w:rPr>
        <w:t>Komisija, manydama, kad peticijoje keliami reikalavimai yra nepagrįsti, kad yra piktnaudžiaujama</w:t>
      </w:r>
      <w:r w:rsidRPr="00EE3BC9">
        <w:rPr>
          <w:rFonts w:eastAsia="TimesNewRomanPSMT"/>
          <w:szCs w:val="24"/>
        </w:rPr>
        <w:t xml:space="preserve"> peticijos teise, manydama, kad </w:t>
      </w:r>
      <w:r>
        <w:rPr>
          <w:rFonts w:eastAsia="TimesNewRomanPSMT"/>
          <w:szCs w:val="24"/>
        </w:rPr>
        <w:t>pareiškėjas niekina</w:t>
      </w:r>
      <w:r w:rsidRPr="00EE3BC9">
        <w:rPr>
          <w:rFonts w:eastAsia="TimesNewRomanPSMT"/>
          <w:szCs w:val="24"/>
        </w:rPr>
        <w:t xml:space="preserve"> ir </w:t>
      </w:r>
      <w:r>
        <w:rPr>
          <w:rFonts w:eastAsia="TimesNewRomanPSMT"/>
          <w:szCs w:val="24"/>
        </w:rPr>
        <w:t>įžeidinėja</w:t>
      </w:r>
      <w:r w:rsidRPr="00EE3BC9">
        <w:rPr>
          <w:rFonts w:eastAsia="TimesNewRomanPSMT"/>
          <w:szCs w:val="24"/>
        </w:rPr>
        <w:t xml:space="preserve"> ne tik peticijoje minimus asmenis, bet ir visą lietuvių tautą, Lietuvos ir kitas valstybes, atsižvelgusi į tai, kad</w:t>
      </w:r>
      <w:r w:rsidRPr="00EE3BC9">
        <w:rPr>
          <w:szCs w:val="24"/>
        </w:rPr>
        <w:t xml:space="preserve"> </w:t>
      </w:r>
      <w:r>
        <w:rPr>
          <w:szCs w:val="24"/>
        </w:rPr>
        <w:t>r</w:t>
      </w:r>
      <w:r w:rsidRPr="00EE3BC9">
        <w:rPr>
          <w:szCs w:val="24"/>
        </w:rPr>
        <w:t xml:space="preserve">ugpjūčio 23 d. Lietuvoje minima kaip </w:t>
      </w:r>
      <w:hyperlink r:id="rId7" w:tooltip="Juodojo kaspino diena" w:history="1">
        <w:r w:rsidRPr="00E83E13">
          <w:rPr>
            <w:rStyle w:val="Hipersaitas"/>
            <w:color w:val="auto"/>
            <w:szCs w:val="24"/>
            <w:u w:val="none"/>
          </w:rPr>
          <w:t>Juodojo kaspino diena</w:t>
        </w:r>
      </w:hyperlink>
      <w:r w:rsidRPr="00E83E13">
        <w:rPr>
          <w:szCs w:val="24"/>
        </w:rPr>
        <w:t xml:space="preserve">, </w:t>
      </w:r>
      <w:r>
        <w:rPr>
          <w:szCs w:val="24"/>
        </w:rPr>
        <w:t>kad</w:t>
      </w:r>
      <w:r w:rsidRPr="00EE3BC9">
        <w:rPr>
          <w:rFonts w:eastAsia="TimesNewRomanPSMT"/>
          <w:szCs w:val="24"/>
        </w:rPr>
        <w:t xml:space="preserve"> minėtą Molotovo-</w:t>
      </w:r>
      <w:proofErr w:type="spellStart"/>
      <w:r w:rsidRPr="00EE3BC9">
        <w:rPr>
          <w:rFonts w:eastAsia="TimesNewRomanPSMT"/>
          <w:szCs w:val="24"/>
        </w:rPr>
        <w:t>Ribentropo</w:t>
      </w:r>
      <w:proofErr w:type="spellEnd"/>
      <w:r w:rsidRPr="00EE3BC9">
        <w:rPr>
          <w:rFonts w:eastAsia="TimesNewRomanPSMT"/>
          <w:szCs w:val="24"/>
        </w:rPr>
        <w:t xml:space="preserve"> paktą yra pasmerkusios dauguma pasaulio valstybių ir paskelbusios šį paktą niekiniu, vadovaudamasi</w:t>
      </w:r>
      <w:r w:rsidRPr="00EE3BC9">
        <w:rPr>
          <w:szCs w:val="24"/>
        </w:rPr>
        <w:t xml:space="preserve"> Peticijų įstatymo 3 straipsniu ir 9 straipsnio 3 dalies 1 ir 4 punktais</w:t>
      </w:r>
      <w:r>
        <w:rPr>
          <w:szCs w:val="24"/>
        </w:rPr>
        <w:t>, nusprendė šio</w:t>
      </w:r>
      <w:r w:rsidRPr="00EE3BC9">
        <w:rPr>
          <w:szCs w:val="24"/>
        </w:rPr>
        <w:t xml:space="preserve"> kreipimosi nepripažinti peticija.</w:t>
      </w:r>
    </w:p>
    <w:p w:rsidR="00E83E13" w:rsidRDefault="00E83E13" w:rsidP="00E83E13">
      <w:pPr>
        <w:rPr>
          <w:szCs w:val="24"/>
          <w:lang w:eastAsia="lt-LT"/>
        </w:rPr>
      </w:pPr>
      <w:r>
        <w:rPr>
          <w:szCs w:val="24"/>
        </w:rPr>
        <w:t xml:space="preserve">Komisija taip pat nusprendė informuoti pareiškėją, kad </w:t>
      </w:r>
      <w:r>
        <w:rPr>
          <w:szCs w:val="24"/>
          <w:lang w:eastAsia="lt-LT"/>
        </w:rPr>
        <w:t>Lietuvos Respublikos baudžiamojo kodekso 232 straipsnyje yra nustatyta, kad tas, kas viešai veiksmu, žodžiu ar raštu užgauliai pažemino teisingumą vykdančius teismą ar teisėją dėl jų veiklos, baudžiamas bauda arba areštu, arba laisvės atėmimu iki dvejų metų.</w:t>
      </w:r>
    </w:p>
    <w:p w:rsidR="00672414" w:rsidRDefault="0008535F" w:rsidP="00672414">
      <w:r>
        <w:rPr>
          <w:szCs w:val="24"/>
        </w:rPr>
        <w:t>8.</w:t>
      </w:r>
      <w:r w:rsidR="00672414">
        <w:rPr>
          <w:szCs w:val="24"/>
        </w:rPr>
        <w:t xml:space="preserve"> V</w:t>
      </w:r>
      <w:r w:rsidR="00672414">
        <w:t xml:space="preserve">adovaujantis Lietuvos Respublikos Peticijų įstatymo 1 straipsnio 3 dalimi, 2 straipsnio 4 dalimi ir 4 straipsnio 1 dalimi, buvo priimtas sprendimas </w:t>
      </w:r>
      <w:r w:rsidR="00672414">
        <w:rPr>
          <w:szCs w:val="24"/>
        </w:rPr>
        <w:t xml:space="preserve">Filomenos </w:t>
      </w:r>
      <w:proofErr w:type="spellStart"/>
      <w:r w:rsidR="00672414">
        <w:rPr>
          <w:szCs w:val="24"/>
        </w:rPr>
        <w:t>Bieliauskienės</w:t>
      </w:r>
      <w:proofErr w:type="spellEnd"/>
      <w:r w:rsidR="00672414">
        <w:rPr>
          <w:szCs w:val="24"/>
        </w:rPr>
        <w:t xml:space="preserve"> prašymo</w:t>
      </w:r>
      <w:r w:rsidR="00672414">
        <w:t xml:space="preserve">  nenagrinėti Peticijų įstatyme nustatytais pagrindais, nes jis parašytas, nesilaikant Peticijų įstatyme nustatytų formos ir turinio reikalavimų.</w:t>
      </w:r>
    </w:p>
    <w:p w:rsidR="00672414" w:rsidRPr="00246064" w:rsidRDefault="00672414" w:rsidP="00672414">
      <w:pPr>
        <w:rPr>
          <w:szCs w:val="24"/>
        </w:rPr>
      </w:pPr>
      <w:r>
        <w:rPr>
          <w:szCs w:val="24"/>
        </w:rPr>
        <w:t xml:space="preserve">Kreipimųsi (peticijų) pateikimo ir nagrinėjimo tvarką nustato specialus Peticijų įstatymas, </w:t>
      </w:r>
      <w:r w:rsidRPr="00170D95">
        <w:rPr>
          <w:szCs w:val="24"/>
        </w:rPr>
        <w:t xml:space="preserve">kuriame yra nustatyti visi svarbiausi peticijos teisės įgyvendinimo tvarkos elementai, būtent: dėl ko galima kreiptis su peticija; kurioms viešosios valdžios </w:t>
      </w:r>
      <w:r w:rsidRPr="00246064">
        <w:rPr>
          <w:szCs w:val="24"/>
        </w:rPr>
        <w:t xml:space="preserve">institucijoms gali būti paduodama peticija; </w:t>
      </w:r>
      <w:r w:rsidRPr="00246064">
        <w:rPr>
          <w:szCs w:val="24"/>
        </w:rPr>
        <w:lastRenderedPageBreak/>
        <w:t>formalūs reikalavimai, kuriuos turi atitikti peticija; peticijos padavimo tvarka; sprendimų dėl atsisakymo priimti peticiją priėmimo ir jų apskundimo tvarka ir kt.</w:t>
      </w:r>
    </w:p>
    <w:p w:rsidR="00672414" w:rsidRPr="00672414" w:rsidRDefault="00672414" w:rsidP="00672414">
      <w:pPr>
        <w:rPr>
          <w:rFonts w:cs="Times New Roman"/>
          <w:szCs w:val="24"/>
        </w:rPr>
      </w:pPr>
      <w:r w:rsidRPr="00672414">
        <w:rPr>
          <w:rFonts w:cs="Times New Roman"/>
          <w:szCs w:val="24"/>
        </w:rPr>
        <w:t>Peticijų įstatymo 1 straipsnio 3 dalyje yra nustatyta,</w:t>
      </w:r>
      <w:r>
        <w:rPr>
          <w:rFonts w:cs="Times New Roman"/>
          <w:szCs w:val="24"/>
        </w:rPr>
        <w:t xml:space="preserve"> kad Peticijų įstatymas neregla</w:t>
      </w:r>
      <w:r w:rsidRPr="00672414">
        <w:rPr>
          <w:rFonts w:cs="Times New Roman"/>
          <w:szCs w:val="24"/>
        </w:rPr>
        <w:t xml:space="preserve">mentuoja </w:t>
      </w:r>
      <w:r w:rsidRPr="00672414">
        <w:rPr>
          <w:rStyle w:val="Typewriter"/>
          <w:rFonts w:ascii="Times New Roman" w:hAnsi="Times New Roman" w:cs="Times New Roman"/>
          <w:sz w:val="24"/>
          <w:szCs w:val="24"/>
        </w:rPr>
        <w:t>skundų, pareiškimų ir pasiūlymų nagrinėjimo tvarkos, kurią nustato kiti įstatymai ir teisės aktai.</w:t>
      </w:r>
      <w:r w:rsidRPr="00672414">
        <w:rPr>
          <w:rFonts w:cs="Times New Roman"/>
          <w:szCs w:val="24"/>
        </w:rPr>
        <w:t xml:space="preserve"> </w:t>
      </w:r>
    </w:p>
    <w:p w:rsidR="00672414" w:rsidRPr="00607117" w:rsidRDefault="00672414" w:rsidP="00672414">
      <w:pPr>
        <w:rPr>
          <w:rStyle w:val="Typewriter"/>
        </w:rPr>
      </w:pPr>
      <w:r w:rsidRPr="00246064">
        <w:rPr>
          <w:szCs w:val="24"/>
        </w:rPr>
        <w:t>Peticijų įstatymo 2 straipsnio 4 dalyje yra nustatyta, kad peticija – rašytinis arba elektroninis pareiškėjo kreipimasis į Seimą, Vyriausybę ar savivaldybės</w:t>
      </w:r>
      <w:r w:rsidRPr="00246064">
        <w:rPr>
          <w:b/>
          <w:szCs w:val="24"/>
        </w:rPr>
        <w:t xml:space="preserve"> </w:t>
      </w:r>
      <w:r w:rsidRPr="00246064">
        <w:rPr>
          <w:szCs w:val="24"/>
        </w:rPr>
        <w:t>institucijas su reikalavimais ar siūlymais spręsti klausimus, kai tam reikia priimti naują</w:t>
      </w:r>
      <w:r w:rsidRPr="00607117">
        <w:rPr>
          <w:szCs w:val="24"/>
        </w:rPr>
        <w:t xml:space="preserve"> teisės aktą, pakeisti, papildyti ar pripažinti netekusiu galios galiojantį teisės aktą ir kai peticijų komisijos tokį kreipimąsi pripažįsta peticija.</w:t>
      </w:r>
    </w:p>
    <w:p w:rsidR="00672414" w:rsidRDefault="00672414" w:rsidP="00672414">
      <w:pPr>
        <w:rPr>
          <w:rStyle w:val="Typewriter"/>
          <w:rFonts w:ascii="Times New Roman" w:hAnsi="Times New Roman" w:cs="Times New Roman"/>
          <w:sz w:val="24"/>
          <w:szCs w:val="24"/>
        </w:rPr>
      </w:pPr>
      <w:r w:rsidRPr="00246064">
        <w:rPr>
          <w:szCs w:val="24"/>
        </w:rPr>
        <w:t xml:space="preserve">Peticijų įstatymo 2 straipsnio 4 dalyje yra nustatyta, kad kreipimesi turi būti nurodyta: pareiškėjo vardas, pavardė, </w:t>
      </w:r>
      <w:r w:rsidRPr="00672414">
        <w:rPr>
          <w:rFonts w:cs="Times New Roman"/>
          <w:szCs w:val="24"/>
        </w:rPr>
        <w:t>gyvenamoji vieta, asmens kodas; institucija, kuriai paduodamas kreipimasis; prašymas pripažinti kreipimąsi peticija,</w:t>
      </w:r>
      <w:r w:rsidRPr="00672414">
        <w:rPr>
          <w:rFonts w:cs="Times New Roman"/>
          <w:b/>
          <w:szCs w:val="24"/>
        </w:rPr>
        <w:t xml:space="preserve"> </w:t>
      </w:r>
      <w:r w:rsidRPr="00672414">
        <w:rPr>
          <w:rFonts w:cs="Times New Roman"/>
          <w:szCs w:val="24"/>
        </w:rPr>
        <w:t xml:space="preserve">kreipimosi padavimo priežastys ir tikslai; pareiškėjo reikalavimai ir siūlymai. </w:t>
      </w:r>
      <w:r w:rsidRPr="00672414">
        <w:rPr>
          <w:rStyle w:val="Typewriter"/>
          <w:rFonts w:ascii="Times New Roman" w:hAnsi="Times New Roman" w:cs="Times New Roman"/>
          <w:sz w:val="24"/>
          <w:szCs w:val="24"/>
        </w:rPr>
        <w:t>Kiekvienas kreipimasis turi būti pareiškėjo pasirašytas. Tais atvejais, kai pareiškėjas dėl fizinių trūkumų pats negali pasirašyti, kreipimąsi už pareiškėją pasirašo kitas asmuo, nurodydamas savo vardą, pavardę, gyvenamąją vietą, asmens kodą. Kreipimasis, pateiktas elektroniniu būdu, privalo būti pasirašytas elektroniniu parašu. Prie kreipimosi gali būti pridėti įvairūs dokumentai ar jų kopijos, siūlomo teisės akto projektas ir kita medžiaga.</w:t>
      </w:r>
      <w:r>
        <w:rPr>
          <w:rStyle w:val="Typewriter"/>
          <w:rFonts w:ascii="Times New Roman" w:hAnsi="Times New Roman" w:cs="Times New Roman"/>
          <w:sz w:val="24"/>
          <w:szCs w:val="24"/>
        </w:rPr>
        <w:tab/>
      </w:r>
    </w:p>
    <w:p w:rsidR="00672414" w:rsidRPr="00672414" w:rsidRDefault="00672414" w:rsidP="00672414">
      <w:pPr>
        <w:rPr>
          <w:rFonts w:cs="Times New Roman"/>
          <w:szCs w:val="24"/>
        </w:rPr>
      </w:pPr>
      <w:r w:rsidRPr="00672414">
        <w:rPr>
          <w:rFonts w:cs="Times New Roman"/>
          <w:szCs w:val="24"/>
          <w:lang w:eastAsia="lt-LT"/>
        </w:rPr>
        <w:t>Taigi kreipimąsi reikia parašyti ir pateikti pagal Peticijų įstatyme</w:t>
      </w:r>
      <w:r>
        <w:rPr>
          <w:lang w:eastAsia="lt-LT"/>
        </w:rPr>
        <w:t xml:space="preserve"> nustatytus formos ir </w:t>
      </w:r>
      <w:r w:rsidRPr="00246064">
        <w:rPr>
          <w:lang w:eastAsia="lt-LT"/>
        </w:rPr>
        <w:t xml:space="preserve">turinio reikalavimus: kreipimesi turi būti aiškiai išdėstyti kreipimosi siūlymai ar reikalavimai, </w:t>
      </w:r>
      <w:r>
        <w:rPr>
          <w:lang w:eastAsia="lt-LT"/>
        </w:rPr>
        <w:t xml:space="preserve">kurių tenkinimui </w:t>
      </w:r>
      <w:r>
        <w:t>reikėtų</w:t>
      </w:r>
      <w:r w:rsidRPr="00246064">
        <w:t xml:space="preserve"> priimti naują</w:t>
      </w:r>
      <w:r w:rsidRPr="00607117">
        <w:t xml:space="preserve"> teisės aktą, pakeisti, papildyti ar pripažinti netekusiu galios galiojantį teisės aktą</w:t>
      </w:r>
      <w:r>
        <w:t>,</w:t>
      </w:r>
      <w:r w:rsidRPr="00607117">
        <w:t xml:space="preserve"> </w:t>
      </w:r>
      <w:r>
        <w:t>tačiau prašyme toks siūlymas ar reikalavimas nėra suformuluotas, tik prašoma atstatyti teisingumą, kad kiekvienas gyventojas už suteiktą jam paslaugą pats susimokėtų.</w:t>
      </w:r>
    </w:p>
    <w:p w:rsidR="00672414" w:rsidRDefault="00672414" w:rsidP="00672414">
      <w:pPr>
        <w:rPr>
          <w:bCs/>
          <w:color w:val="000000"/>
          <w:szCs w:val="24"/>
        </w:rPr>
      </w:pPr>
      <w:r>
        <w:rPr>
          <w:szCs w:val="24"/>
        </w:rPr>
        <w:t xml:space="preserve">Komisija taip pat nusprendė informuoti pareiškėją, kad 2012 m. balandžio 12 d. buvo priimta nauja Lietuvos Respublikos daugiabučių namų savininkų bendrijų įstatymo redakcija. Dabar šis įstatymas vadinasi </w:t>
      </w:r>
      <w:r w:rsidRPr="00EA38A6">
        <w:rPr>
          <w:szCs w:val="24"/>
        </w:rPr>
        <w:t>L</w:t>
      </w:r>
      <w:r w:rsidRPr="00EA38A6">
        <w:rPr>
          <w:bCs/>
          <w:color w:val="000000"/>
          <w:szCs w:val="24"/>
        </w:rPr>
        <w:t>ietuvos Respublikos daugiabučių gyvenamųjų namų ir kitos paskirties pastatų savininkų bendrijų</w:t>
      </w:r>
      <w:r>
        <w:rPr>
          <w:bCs/>
          <w:color w:val="000000"/>
          <w:szCs w:val="24"/>
        </w:rPr>
        <w:t xml:space="preserve"> įstatymu.</w:t>
      </w:r>
    </w:p>
    <w:p w:rsidR="00672414" w:rsidRPr="0073232C" w:rsidRDefault="00672414" w:rsidP="00672414">
      <w:pPr>
        <w:ind w:firstLine="567"/>
        <w:rPr>
          <w:szCs w:val="24"/>
        </w:rPr>
      </w:pPr>
      <w:r>
        <w:rPr>
          <w:bCs/>
          <w:color w:val="000000"/>
          <w:szCs w:val="24"/>
        </w:rPr>
        <w:t>Šio įstatymo 11 straipsnio 1 dalyje yra nustatyta, kad visuotinis gyventojų</w:t>
      </w:r>
      <w:r>
        <w:rPr>
          <w:color w:val="000000"/>
          <w:szCs w:val="24"/>
        </w:rPr>
        <w:t xml:space="preserve"> susirinkimas </w:t>
      </w:r>
      <w:r w:rsidRPr="0073232C">
        <w:rPr>
          <w:color w:val="000000"/>
          <w:szCs w:val="24"/>
        </w:rPr>
        <w:t>priima sprendimus dėl bendrijos administravimo būdo ir bendrojo naudojimo objektų nuolatinės techninės priežiūros (eksploatavimo) ir naudojimo organizavimo;</w:t>
      </w:r>
      <w:r>
        <w:rPr>
          <w:color w:val="000000"/>
          <w:szCs w:val="24"/>
        </w:rPr>
        <w:t xml:space="preserve"> </w:t>
      </w:r>
      <w:r w:rsidRPr="0073232C">
        <w:rPr>
          <w:color w:val="000000"/>
          <w:szCs w:val="24"/>
        </w:rPr>
        <w:t>tvirtina įmokų, skirtų bendrijos administravimo, bendrojo naudojimo objektų nuolatinės techninės priežiūros (eksploatavimo) ar kitoms išlaidoms apmokėti, tarifus; įmokas arba jų apskaičiavimo tvarką kaupiamajam pastato ar jo bendrojo naudojimo objektų atnaujinimo fondui arba investiciniam naujų bendrosios dalinės nuosavybės teisės objektų sukūrimo fondui sudaryti ir nustato šių lėšų naudojimo tvarką;</w:t>
      </w:r>
      <w:r>
        <w:rPr>
          <w:color w:val="000000"/>
          <w:szCs w:val="24"/>
        </w:rPr>
        <w:t xml:space="preserve"> </w:t>
      </w:r>
      <w:r w:rsidRPr="0073232C">
        <w:rPr>
          <w:color w:val="000000"/>
          <w:szCs w:val="24"/>
        </w:rPr>
        <w:t>tvirtina bendrojo naudojimo objektų aprašą;</w:t>
      </w:r>
      <w:r>
        <w:rPr>
          <w:color w:val="000000"/>
          <w:szCs w:val="24"/>
        </w:rPr>
        <w:t xml:space="preserve"> </w:t>
      </w:r>
      <w:r w:rsidRPr="0073232C">
        <w:rPr>
          <w:color w:val="000000"/>
          <w:szCs w:val="24"/>
        </w:rPr>
        <w:t>priima sprendimus dėl lėšų bendrojo naudojimo objektams atnaujinti skolinimosi arba kitų kreditinių įsipareigojimų, išskyrus šio įstatymo 12 straipsnyje numatytus atvejus;</w:t>
      </w:r>
      <w:r>
        <w:rPr>
          <w:color w:val="000000"/>
          <w:szCs w:val="24"/>
        </w:rPr>
        <w:t xml:space="preserve"> </w:t>
      </w:r>
      <w:r w:rsidRPr="0073232C">
        <w:rPr>
          <w:color w:val="000000"/>
          <w:szCs w:val="24"/>
        </w:rPr>
        <w:t xml:space="preserve">tvirtina kitas įmokas, susijusias su bendrijos administravimu, bendrojo </w:t>
      </w:r>
      <w:r w:rsidRPr="0073232C">
        <w:rPr>
          <w:color w:val="000000"/>
          <w:szCs w:val="24"/>
        </w:rPr>
        <w:lastRenderedPageBreak/>
        <w:t>naudojimo objektų naudojimu ir priežiūra, jeigu bendrijos įstatuose nenustatyta kitaip;</w:t>
      </w:r>
      <w:r>
        <w:rPr>
          <w:color w:val="000000"/>
          <w:szCs w:val="24"/>
        </w:rPr>
        <w:t xml:space="preserve"> </w:t>
      </w:r>
      <w:r w:rsidRPr="0073232C">
        <w:rPr>
          <w:color w:val="000000"/>
          <w:szCs w:val="24"/>
        </w:rPr>
        <w:t>priima sprendimus dėl nuostolių, atsiradusių dėl bendrijos ūkinės veikl</w:t>
      </w:r>
      <w:r>
        <w:rPr>
          <w:color w:val="000000"/>
          <w:szCs w:val="24"/>
        </w:rPr>
        <w:t>os, dengimo ir žalos atlyginimo ir t. t.</w:t>
      </w:r>
    </w:p>
    <w:p w:rsidR="00672414" w:rsidRDefault="00672414" w:rsidP="00672414">
      <w:pPr>
        <w:rPr>
          <w:color w:val="000000"/>
          <w:szCs w:val="24"/>
        </w:rPr>
      </w:pPr>
      <w:r>
        <w:rPr>
          <w:bCs/>
          <w:color w:val="000000"/>
          <w:szCs w:val="24"/>
        </w:rPr>
        <w:t>Šio įstatymo 12 straipsnio 1 dalyje yra nustatyta, kad s</w:t>
      </w:r>
      <w:r w:rsidRPr="00812CC9">
        <w:rPr>
          <w:color w:val="000000"/>
          <w:szCs w:val="24"/>
        </w:rPr>
        <w:t>prendimai dėl daugiabučio namo</w:t>
      </w:r>
      <w:r>
        <w:rPr>
          <w:color w:val="000000"/>
          <w:szCs w:val="24"/>
        </w:rPr>
        <w:t>,</w:t>
      </w:r>
      <w:r w:rsidRPr="00812CC9">
        <w:rPr>
          <w:color w:val="000000"/>
          <w:szCs w:val="24"/>
        </w:rPr>
        <w:t xml:space="preserve"> kuriame yra įsteigta bendrija, butų ir kitų patalpų (pastatų) savininkų bendrų interesų tenkinimo (karšto vandens tiekėjo, šilumos paskirstymo metodo, pastato (pastatų) šildymo būdo, atsiskaitymo tvarkos pasirinkimo, tiekimo vartojimo ribos nustatymo, patalpų (pastatų) savininkų sutarčių su paslaugų teikėjais sudarymo ar nutraukimo ir pan.), taip pat dėl priemonių, nesusijusių su pastato (pastatų) naudojimo ir priežiūros privalomųjų reikalavimų įgyvendinimu, dėl pastato (pastatų) atnaujinimo, lėšų šiam tikslui kaupimo ar skolinimosi ir kredito sutarčių sąlygų priimami visų to daugiabučio namo (daugiabučių namų) ar kitos paskirties pastato (pastatų), kuriame (kuriuose) yra įsteigta bendrija, savininkų balsų dauguma, nepažeidžiant teisingumo, protingumo ir sąžiningumo reikalavimų. </w:t>
      </w:r>
    </w:p>
    <w:p w:rsidR="00672414" w:rsidRDefault="00672414" w:rsidP="00672414">
      <w:pPr>
        <w:rPr>
          <w:szCs w:val="24"/>
        </w:rPr>
      </w:pPr>
      <w:r>
        <w:rPr>
          <w:szCs w:val="24"/>
        </w:rPr>
        <w:t xml:space="preserve">Jeigu namą administruoja </w:t>
      </w:r>
      <w:r>
        <w:rPr>
          <w:iCs/>
          <w:szCs w:val="24"/>
        </w:rPr>
        <w:t>už namo priežiūrą atsakinga įmonė, įstaiga arba organizacija, v</w:t>
      </w:r>
      <w:r>
        <w:rPr>
          <w:szCs w:val="24"/>
        </w:rPr>
        <w:t xml:space="preserve">adovaujantis Lietuvos Respublikos Vyriausybės nutarimu Nr. 876 patvirtintu Valstybės ir savivaldybių gyvenamųjų patalpų valstybės ir savivaldybių gyvenamųjų patalpų nuomininkų atsiskaitymo už šaltą ir karštą vandenį, elektros energiją, dujas, šiluminę energiją ir komunalines paslaugas tvarkos aprašu, administratorius mokesčius už komunalines paslaugas ir elektros energiją, sunaudotą daugiabučio namo bendroms reikmėms ar bendrabučio tipo daugiabučio namo reikmėms, paskirsto butų ir kitų patalpų savininkams ir nuomininkams, vadovaudamasis savivaldybės administracijos direktoriaus patvirtintais Butų ir kitų patalpų savininkų bendrosios nuosavybės administravimo nuostatais, ir pagal sudarytas sutartis atsiskaito su komunalinių paslaugų teikėjais ir elektros energijos tiekėjais. Pagal minėtus nuostatus administratorius mėnesinius mokesčius už elektros energiją, sunaudotą namo bendroms reikmėms, už liftą, taip pat už namo šildymo ir karšto vandens sistemos priežiūrą (eksploatavimą) apskaičiuoja proporcingai bendrosios nuosavybės daliai (butų ir kitų patalpų naudingajam plotui). </w:t>
      </w:r>
    </w:p>
    <w:p w:rsidR="00672414" w:rsidRDefault="00672414" w:rsidP="00672414">
      <w:pPr>
        <w:rPr>
          <w:color w:val="000000"/>
          <w:szCs w:val="24"/>
        </w:rPr>
      </w:pPr>
      <w:r>
        <w:rPr>
          <w:szCs w:val="24"/>
        </w:rPr>
        <w:t>D</w:t>
      </w:r>
      <w:r w:rsidRPr="00EA38A6">
        <w:rPr>
          <w:bCs/>
          <w:color w:val="000000"/>
          <w:szCs w:val="24"/>
        </w:rPr>
        <w:t>augiabučių gyvenamųjų namų ir kitos paskirties pastatų savininkų bendrijų</w:t>
      </w:r>
      <w:r>
        <w:rPr>
          <w:bCs/>
          <w:color w:val="000000"/>
          <w:szCs w:val="24"/>
        </w:rPr>
        <w:t xml:space="preserve"> įstatymo 2 straipsnio 15 dalyje yra nustatyta, </w:t>
      </w:r>
      <w:r w:rsidRPr="00044B36">
        <w:rPr>
          <w:bCs/>
          <w:color w:val="000000"/>
          <w:szCs w:val="24"/>
        </w:rPr>
        <w:t xml:space="preserve">kad </w:t>
      </w:r>
      <w:r>
        <w:rPr>
          <w:bCs/>
          <w:color w:val="000000"/>
          <w:szCs w:val="24"/>
        </w:rPr>
        <w:t>p</w:t>
      </w:r>
      <w:r w:rsidRPr="00044B36">
        <w:rPr>
          <w:bCs/>
          <w:color w:val="000000"/>
          <w:szCs w:val="24"/>
        </w:rPr>
        <w:t>astato bendrojo naudojimo objektai</w:t>
      </w:r>
      <w:r w:rsidRPr="00044B36">
        <w:rPr>
          <w:color w:val="000000"/>
          <w:szCs w:val="24"/>
        </w:rPr>
        <w:t>:</w:t>
      </w:r>
      <w:r w:rsidRPr="004A2F6A">
        <w:rPr>
          <w:color w:val="000000"/>
          <w:szCs w:val="24"/>
        </w:rPr>
        <w:t xml:space="preserve"> bendrosios pastato konstrukcijos – pagrindinės pastato konstrukcijos (pamatai, visos laikančiosios sienos ir kolonos, išorinės sienos ir vidinės pertvaros, atskiriančios bendrojo naudojimo patalpas nuo skirtingiems savininkams priklausančių butų ir kitų patalpų, perdangos, stogas, fasado architektūros detalės, bendrojo naudojimo balkonai ir </w:t>
      </w:r>
      <w:proofErr w:type="spellStart"/>
      <w:r w:rsidRPr="004A2F6A">
        <w:rPr>
          <w:color w:val="000000"/>
          <w:szCs w:val="24"/>
        </w:rPr>
        <w:t>lodžijos</w:t>
      </w:r>
      <w:proofErr w:type="spellEnd"/>
      <w:r w:rsidRPr="004A2F6A">
        <w:rPr>
          <w:color w:val="000000"/>
          <w:szCs w:val="24"/>
        </w:rPr>
        <w:t xml:space="preserve">, kitų balkonų ir </w:t>
      </w:r>
      <w:proofErr w:type="spellStart"/>
      <w:r w:rsidRPr="004A2F6A">
        <w:rPr>
          <w:color w:val="000000"/>
          <w:szCs w:val="24"/>
        </w:rPr>
        <w:t>lodžijų</w:t>
      </w:r>
      <w:proofErr w:type="spellEnd"/>
      <w:r w:rsidRPr="004A2F6A">
        <w:rPr>
          <w:color w:val="000000"/>
          <w:szCs w:val="24"/>
        </w:rPr>
        <w:t xml:space="preserve"> išorinės (fasado) konstrukcijos, išorės durys, laiptinių laiptų konstrukcijos, išoriniai laiptai, </w:t>
      </w:r>
      <w:proofErr w:type="spellStart"/>
      <w:r w:rsidRPr="004A2F6A">
        <w:rPr>
          <w:color w:val="000000"/>
          <w:szCs w:val="24"/>
        </w:rPr>
        <w:t>nuožulnos</w:t>
      </w:r>
      <w:proofErr w:type="spellEnd"/>
      <w:r w:rsidRPr="004A2F6A">
        <w:rPr>
          <w:color w:val="000000"/>
          <w:szCs w:val="24"/>
        </w:rPr>
        <w:t>, stogeliai);</w:t>
      </w:r>
      <w:r>
        <w:rPr>
          <w:color w:val="000000"/>
          <w:szCs w:val="24"/>
        </w:rPr>
        <w:t xml:space="preserve"> </w:t>
      </w:r>
      <w:r w:rsidRPr="004A2F6A">
        <w:rPr>
          <w:color w:val="000000"/>
          <w:szCs w:val="24"/>
        </w:rPr>
        <w:t xml:space="preserve">bendrosios pastato inžinerinės sistemos – pastato bendrojo naudojimo mechaninė, elektros, dujų, šilumos, sanitarinės technikos ir kita įranga (įskaitant pastato elektros skydinę, šilumos punktą, šildymo ir karšto </w:t>
      </w:r>
      <w:r w:rsidRPr="004A2F6A">
        <w:rPr>
          <w:color w:val="000000"/>
          <w:szCs w:val="24"/>
        </w:rPr>
        <w:lastRenderedPageBreak/>
        <w:t>vandens sistemos vamzdynus ir radiatorius, vandentiekio ir kanalizacijos vamzdynus, rankšluosčių džiovintuvus); pastato bendrojo naudojimo patalpos – pastato laiptinės, holai, koridoriai, galerijos, palėpės, sandėliai, rūsiai, pusrūsiai ir kitos patalpos, jeigu tai nuosavybės teise nepriklauso atskiriems savininkams;</w:t>
      </w:r>
      <w:r>
        <w:rPr>
          <w:color w:val="000000"/>
          <w:szCs w:val="24"/>
        </w:rPr>
        <w:t xml:space="preserve"> </w:t>
      </w:r>
      <w:r w:rsidRPr="004A2F6A">
        <w:rPr>
          <w:color w:val="000000"/>
          <w:szCs w:val="24"/>
        </w:rPr>
        <w:t>bendrojo naudojimo žemės sklypas –</w:t>
      </w:r>
      <w:r w:rsidRPr="004A2F6A">
        <w:rPr>
          <w:b/>
          <w:bCs/>
          <w:color w:val="000000"/>
          <w:szCs w:val="24"/>
        </w:rPr>
        <w:t xml:space="preserve"> </w:t>
      </w:r>
      <w:r w:rsidRPr="004A2F6A">
        <w:rPr>
          <w:color w:val="000000"/>
          <w:szCs w:val="24"/>
        </w:rPr>
        <w:t>bendrosios dalinės nuosavybės teise ar kitais įstatymų nustatytais pagrindais daugiabučių gyvenamųjų namų ar kitos paskirties pastatų savininkų naudojamas ir (ar) valdomas žemės sklypas.</w:t>
      </w:r>
    </w:p>
    <w:p w:rsidR="00672414" w:rsidRDefault="00672414" w:rsidP="00672414">
      <w:pPr>
        <w:rPr>
          <w:color w:val="000000"/>
          <w:szCs w:val="24"/>
        </w:rPr>
      </w:pPr>
      <w:r>
        <w:rPr>
          <w:color w:val="000000"/>
          <w:szCs w:val="24"/>
        </w:rPr>
        <w:t>Taigi</w:t>
      </w:r>
      <w:r w:rsidRPr="004A2F6A">
        <w:rPr>
          <w:color w:val="000000"/>
          <w:szCs w:val="24"/>
        </w:rPr>
        <w:t xml:space="preserve"> </w:t>
      </w:r>
      <w:r>
        <w:rPr>
          <w:color w:val="000000"/>
          <w:szCs w:val="24"/>
        </w:rPr>
        <w:t>nauji gyventojai, nusipirkę daugiabučiame gyvenamajame name butą, sumoka ne tik už butą ir sandėliuką rūsyje, bet ir už ir visas kitas</w:t>
      </w:r>
      <w:r w:rsidRPr="004A2F6A">
        <w:rPr>
          <w:color w:val="000000"/>
          <w:szCs w:val="24"/>
        </w:rPr>
        <w:t xml:space="preserve"> </w:t>
      </w:r>
      <w:r>
        <w:rPr>
          <w:color w:val="000000"/>
          <w:szCs w:val="24"/>
        </w:rPr>
        <w:t>daugiabučio gyvenamojo namo dalis.</w:t>
      </w:r>
    </w:p>
    <w:p w:rsidR="00672414" w:rsidRDefault="00672414" w:rsidP="00672414">
      <w:pPr>
        <w:rPr>
          <w:color w:val="000000"/>
          <w:szCs w:val="24"/>
        </w:rPr>
      </w:pPr>
    </w:p>
    <w:p w:rsidR="00982B5B" w:rsidRPr="0025634D" w:rsidRDefault="00982B5B" w:rsidP="00982B5B">
      <w:pPr>
        <w:ind w:firstLine="0"/>
        <w:rPr>
          <w:rFonts w:cs="Times New Roman"/>
          <w:szCs w:val="24"/>
        </w:rPr>
      </w:pPr>
      <w:r w:rsidRPr="0025634D">
        <w:rPr>
          <w:rFonts w:cs="Times New Roman"/>
          <w:szCs w:val="24"/>
        </w:rPr>
        <w:t xml:space="preserve">Komisijų biuro patarėja Janina </w:t>
      </w:r>
      <w:proofErr w:type="spellStart"/>
      <w:r w:rsidRPr="0025634D">
        <w:rPr>
          <w:rFonts w:cs="Times New Roman"/>
          <w:szCs w:val="24"/>
        </w:rPr>
        <w:t>Šniaukštienė</w:t>
      </w:r>
      <w:proofErr w:type="spellEnd"/>
      <w:r w:rsidRPr="0025634D">
        <w:rPr>
          <w:rFonts w:cs="Times New Roman"/>
          <w:szCs w:val="24"/>
        </w:rPr>
        <w:t>, tel. (8 5) 239 6819, el. p. jasnia@lrs.lt</w:t>
      </w:r>
    </w:p>
    <w:p w:rsidR="00957D97" w:rsidRDefault="00957D97" w:rsidP="00957D97">
      <w:pPr>
        <w:pStyle w:val="Pagrindiniotekstotrauka2"/>
        <w:spacing w:before="0" w:beforeAutospacing="0" w:after="0" w:afterAutospacing="0" w:line="360" w:lineRule="auto"/>
        <w:ind w:firstLine="567"/>
        <w:jc w:val="both"/>
        <w:rPr>
          <w:bCs/>
        </w:rPr>
      </w:pPr>
    </w:p>
    <w:p w:rsidR="00CA4EB5" w:rsidRPr="00EF388A" w:rsidRDefault="00CA4EB5" w:rsidP="00AB4EDA">
      <w:pPr>
        <w:rPr>
          <w:szCs w:val="24"/>
        </w:rPr>
      </w:pPr>
    </w:p>
    <w:p w:rsidR="00D37445" w:rsidRPr="00217183" w:rsidRDefault="00D37445" w:rsidP="00B541F8"/>
    <w:sectPr w:rsidR="00D37445" w:rsidRPr="00217183" w:rsidSect="00236D6B">
      <w:headerReference w:type="default" r:id="rId8"/>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41F8" w:rsidRDefault="00B541F8" w:rsidP="00236D6B">
      <w:pPr>
        <w:spacing w:line="240" w:lineRule="auto"/>
      </w:pPr>
      <w:r>
        <w:separator/>
      </w:r>
    </w:p>
  </w:endnote>
  <w:endnote w:type="continuationSeparator" w:id="0">
    <w:p w:rsidR="00B541F8" w:rsidRDefault="00B541F8" w:rsidP="00236D6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 w:name="Courier New">
    <w:panose1 w:val="02070309020205020404"/>
    <w:charset w:val="BA"/>
    <w:family w:val="modern"/>
    <w:pitch w:val="fixed"/>
    <w:sig w:usb0="E0002AFF" w:usb1="C0007843" w:usb2="00000009" w:usb3="00000000" w:csb0="000001FF" w:csb1="00000000"/>
  </w:font>
  <w:font w:name="SegoeUI">
    <w:altName w:val="MS Mincho"/>
    <w:panose1 w:val="00000000000000000000"/>
    <w:charset w:val="80"/>
    <w:family w:val="auto"/>
    <w:notTrueType/>
    <w:pitch w:val="default"/>
    <w:sig w:usb0="00000001" w:usb1="08070000" w:usb2="00000010" w:usb3="00000000" w:csb0="00020000" w:csb1="00000000"/>
  </w:font>
  <w:font w:name="SegoeUI-Bold">
    <w:altName w:val="MS Mincho"/>
    <w:panose1 w:val="00000000000000000000"/>
    <w:charset w:val="80"/>
    <w:family w:val="auto"/>
    <w:notTrueType/>
    <w:pitch w:val="default"/>
    <w:sig w:usb0="00000000" w:usb1="08070000" w:usb2="00000010" w:usb3="00000000" w:csb0="00020000" w:csb1="00000000"/>
  </w:font>
  <w:font w:name="TimesNewRomanPSMT">
    <w:altName w:val="MS Mincho"/>
    <w:panose1 w:val="00000000000000000000"/>
    <w:charset w:val="80"/>
    <w:family w:val="auto"/>
    <w:notTrueType/>
    <w:pitch w:val="default"/>
    <w:sig w:usb0="00000005" w:usb1="08070000" w:usb2="00000010" w:usb3="00000000" w:csb0="00020082" w:csb1="00000000"/>
  </w:font>
  <w:font w:name="ArialMT">
    <w:altName w:val="MS Mincho"/>
    <w:panose1 w:val="00000000000000000000"/>
    <w:charset w:val="80"/>
    <w:family w:val="auto"/>
    <w:notTrueType/>
    <w:pitch w:val="default"/>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41F8" w:rsidRDefault="00B541F8" w:rsidP="00236D6B">
      <w:pPr>
        <w:spacing w:line="240" w:lineRule="auto"/>
      </w:pPr>
      <w:r>
        <w:separator/>
      </w:r>
    </w:p>
  </w:footnote>
  <w:footnote w:type="continuationSeparator" w:id="0">
    <w:p w:rsidR="00B541F8" w:rsidRDefault="00B541F8" w:rsidP="00236D6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5337790"/>
      <w:docPartObj>
        <w:docPartGallery w:val="Page Numbers (Top of Page)"/>
        <w:docPartUnique/>
      </w:docPartObj>
    </w:sdtPr>
    <w:sdtEndPr/>
    <w:sdtContent>
      <w:p w:rsidR="00236D6B" w:rsidRDefault="00236D6B">
        <w:pPr>
          <w:pStyle w:val="Antrats"/>
          <w:jc w:val="center"/>
        </w:pPr>
        <w:r>
          <w:fldChar w:fldCharType="begin"/>
        </w:r>
        <w:r>
          <w:instrText>PAGE   \* MERGEFORMAT</w:instrText>
        </w:r>
        <w:r>
          <w:fldChar w:fldCharType="separate"/>
        </w:r>
        <w:r w:rsidR="004513D1">
          <w:rPr>
            <w:noProof/>
          </w:rPr>
          <w:t>7</w:t>
        </w:r>
        <w:r>
          <w:fldChar w:fldCharType="end"/>
        </w:r>
      </w:p>
    </w:sdtContent>
  </w:sdt>
  <w:p w:rsidR="00236D6B" w:rsidRDefault="00236D6B">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396"/>
  <w:drawingGridHorizontalSpacing w:val="12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41F8"/>
    <w:rsid w:val="00050041"/>
    <w:rsid w:val="0008535F"/>
    <w:rsid w:val="001A47A9"/>
    <w:rsid w:val="0020365C"/>
    <w:rsid w:val="00217183"/>
    <w:rsid w:val="00236D6B"/>
    <w:rsid w:val="0029124C"/>
    <w:rsid w:val="00303BF4"/>
    <w:rsid w:val="004415F9"/>
    <w:rsid w:val="004513D1"/>
    <w:rsid w:val="00464771"/>
    <w:rsid w:val="004A3875"/>
    <w:rsid w:val="004B1FC2"/>
    <w:rsid w:val="004B6F32"/>
    <w:rsid w:val="00552464"/>
    <w:rsid w:val="005D61C5"/>
    <w:rsid w:val="006712E0"/>
    <w:rsid w:val="00672414"/>
    <w:rsid w:val="00755752"/>
    <w:rsid w:val="00851E02"/>
    <w:rsid w:val="00887561"/>
    <w:rsid w:val="008B3C0F"/>
    <w:rsid w:val="008F3CBC"/>
    <w:rsid w:val="00957D97"/>
    <w:rsid w:val="00982B5B"/>
    <w:rsid w:val="00AB4EDA"/>
    <w:rsid w:val="00B541F8"/>
    <w:rsid w:val="00C26569"/>
    <w:rsid w:val="00CA4EB5"/>
    <w:rsid w:val="00CE336C"/>
    <w:rsid w:val="00D37445"/>
    <w:rsid w:val="00D52531"/>
    <w:rsid w:val="00D84D11"/>
    <w:rsid w:val="00E83E13"/>
    <w:rsid w:val="00F4614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B541F8"/>
    <w:pPr>
      <w:ind w:firstLine="720"/>
    </w:pPr>
    <w:rPr>
      <w:rFonts w:ascii="Times New Roman" w:hAnsi="Times New Roman"/>
      <w:sz w:val="24"/>
    </w:rPr>
  </w:style>
  <w:style w:type="paragraph" w:styleId="Antrat3">
    <w:name w:val="heading 3"/>
    <w:basedOn w:val="prastasis"/>
    <w:next w:val="prastasis"/>
    <w:link w:val="Antrat3Diagrama"/>
    <w:uiPriority w:val="9"/>
    <w:semiHidden/>
    <w:unhideWhenUsed/>
    <w:qFormat/>
    <w:rsid w:val="00F46148"/>
    <w:pPr>
      <w:keepNext/>
      <w:keepLines/>
      <w:spacing w:before="200"/>
      <w:ind w:firstLine="0"/>
      <w:outlineLvl w:val="2"/>
    </w:pPr>
    <w:rPr>
      <w:rFonts w:asciiTheme="majorHAnsi" w:eastAsiaTheme="majorEastAsia" w:hAnsiTheme="majorHAnsi" w:cstheme="majorBidi"/>
      <w:b/>
      <w:bCs/>
      <w:color w:val="4F81BD" w:themeColor="accent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Komitetas">
    <w:name w:val="Komitetas"/>
    <w:basedOn w:val="prastasis"/>
    <w:qFormat/>
    <w:rsid w:val="00F46148"/>
    <w:pPr>
      <w:spacing w:line="240" w:lineRule="auto"/>
      <w:ind w:firstLine="0"/>
      <w:jc w:val="center"/>
    </w:pPr>
    <w:rPr>
      <w:rFonts w:eastAsia="Times New Roman" w:cs="Times New Roman"/>
      <w:b/>
      <w:caps/>
      <w:szCs w:val="24"/>
    </w:rPr>
  </w:style>
  <w:style w:type="paragraph" w:customStyle="1" w:styleId="Projektas">
    <w:name w:val="Projektas"/>
    <w:basedOn w:val="Antrat3"/>
    <w:qFormat/>
    <w:rsid w:val="00F46148"/>
    <w:pPr>
      <w:keepLines w:val="0"/>
      <w:spacing w:before="0" w:line="240" w:lineRule="auto"/>
      <w:jc w:val="center"/>
    </w:pPr>
    <w:rPr>
      <w:rFonts w:ascii="Times New Roman" w:eastAsia="Times New Roman" w:hAnsi="Times New Roman" w:cs="Times New Roman"/>
      <w:caps/>
      <w:color w:val="auto"/>
      <w:szCs w:val="20"/>
    </w:rPr>
  </w:style>
  <w:style w:type="character" w:customStyle="1" w:styleId="Antrat3Diagrama">
    <w:name w:val="Antraštė 3 Diagrama"/>
    <w:basedOn w:val="Numatytasispastraiposriftas"/>
    <w:link w:val="Antrat3"/>
    <w:uiPriority w:val="9"/>
    <w:semiHidden/>
    <w:rsid w:val="00F46148"/>
    <w:rPr>
      <w:rFonts w:asciiTheme="majorHAnsi" w:eastAsiaTheme="majorEastAsia" w:hAnsiTheme="majorHAnsi" w:cstheme="majorBidi"/>
      <w:b/>
      <w:bCs/>
      <w:color w:val="4F81BD" w:themeColor="accent1"/>
      <w:sz w:val="24"/>
    </w:rPr>
  </w:style>
  <w:style w:type="paragraph" w:customStyle="1" w:styleId="Dalyviai">
    <w:name w:val="Dalyviai"/>
    <w:basedOn w:val="prastasis"/>
    <w:qFormat/>
    <w:rsid w:val="00F46148"/>
    <w:pPr>
      <w:spacing w:line="240" w:lineRule="auto"/>
      <w:ind w:firstLine="0"/>
    </w:pPr>
    <w:rPr>
      <w:rFonts w:eastAsia="Times New Roman" w:cs="Times New Roman"/>
      <w:szCs w:val="24"/>
    </w:rPr>
  </w:style>
  <w:style w:type="character" w:customStyle="1" w:styleId="susilaike">
    <w:name w:val="susilaike"/>
    <w:qFormat/>
    <w:rsid w:val="00F46148"/>
    <w:rPr>
      <w:rFonts w:ascii="Times New Roman" w:hAnsi="Times New Roman"/>
    </w:rPr>
  </w:style>
  <w:style w:type="paragraph" w:customStyle="1" w:styleId="Pranesejas">
    <w:name w:val="Pranesejas"/>
    <w:basedOn w:val="Pagrindinistekstas"/>
    <w:qFormat/>
    <w:rsid w:val="00F46148"/>
    <w:pPr>
      <w:spacing w:after="0"/>
    </w:pPr>
    <w:rPr>
      <w:rFonts w:eastAsia="Times New Roman" w:cs="Times New Roman"/>
      <w:szCs w:val="20"/>
    </w:rPr>
  </w:style>
  <w:style w:type="paragraph" w:styleId="Pagrindinistekstas">
    <w:name w:val="Body Text"/>
    <w:basedOn w:val="prastasis"/>
    <w:link w:val="PagrindinistekstasDiagrama"/>
    <w:uiPriority w:val="99"/>
    <w:semiHidden/>
    <w:unhideWhenUsed/>
    <w:rsid w:val="00F46148"/>
    <w:pPr>
      <w:spacing w:after="120"/>
      <w:ind w:firstLine="0"/>
    </w:pPr>
  </w:style>
  <w:style w:type="character" w:customStyle="1" w:styleId="PagrindinistekstasDiagrama">
    <w:name w:val="Pagrindinis tekstas Diagrama"/>
    <w:basedOn w:val="Numatytasispastraiposriftas"/>
    <w:link w:val="Pagrindinistekstas"/>
    <w:uiPriority w:val="99"/>
    <w:semiHidden/>
    <w:rsid w:val="00F46148"/>
    <w:rPr>
      <w:rFonts w:ascii="Times New Roman" w:hAnsi="Times New Roman"/>
      <w:sz w:val="24"/>
    </w:rPr>
  </w:style>
  <w:style w:type="paragraph" w:customStyle="1" w:styleId="Isvadakonsoliduotaiversijai6">
    <w:name w:val="Isvada_konsoliduotai_versijai6"/>
    <w:basedOn w:val="prastasis"/>
    <w:qFormat/>
    <w:rsid w:val="00F46148"/>
    <w:pPr>
      <w:keepNext/>
      <w:spacing w:line="240" w:lineRule="auto"/>
      <w:ind w:firstLine="0"/>
      <w:jc w:val="left"/>
      <w:outlineLvl w:val="5"/>
    </w:pPr>
    <w:rPr>
      <w:rFonts w:eastAsia="Times New Roman" w:cs="Times New Roman"/>
      <w:b/>
      <w:bCs/>
      <w:szCs w:val="20"/>
    </w:rPr>
  </w:style>
  <w:style w:type="paragraph" w:styleId="Antrats">
    <w:name w:val="header"/>
    <w:basedOn w:val="prastasis"/>
    <w:link w:val="AntratsDiagrama"/>
    <w:uiPriority w:val="99"/>
    <w:unhideWhenUsed/>
    <w:rsid w:val="00236D6B"/>
    <w:pPr>
      <w:tabs>
        <w:tab w:val="center" w:pos="4819"/>
        <w:tab w:val="right" w:pos="9638"/>
      </w:tabs>
      <w:spacing w:line="240" w:lineRule="auto"/>
      <w:ind w:firstLine="0"/>
    </w:pPr>
  </w:style>
  <w:style w:type="character" w:customStyle="1" w:styleId="AntratsDiagrama">
    <w:name w:val="Antraštės Diagrama"/>
    <w:basedOn w:val="Numatytasispastraiposriftas"/>
    <w:link w:val="Antrats"/>
    <w:uiPriority w:val="99"/>
    <w:rsid w:val="00236D6B"/>
    <w:rPr>
      <w:rFonts w:ascii="Times New Roman" w:hAnsi="Times New Roman"/>
      <w:sz w:val="24"/>
    </w:rPr>
  </w:style>
  <w:style w:type="paragraph" w:styleId="Porat">
    <w:name w:val="footer"/>
    <w:basedOn w:val="prastasis"/>
    <w:link w:val="PoratDiagrama"/>
    <w:uiPriority w:val="99"/>
    <w:unhideWhenUsed/>
    <w:rsid w:val="00236D6B"/>
    <w:pPr>
      <w:tabs>
        <w:tab w:val="center" w:pos="4819"/>
        <w:tab w:val="right" w:pos="9638"/>
      </w:tabs>
      <w:spacing w:line="240" w:lineRule="auto"/>
      <w:ind w:firstLine="0"/>
    </w:pPr>
  </w:style>
  <w:style w:type="character" w:customStyle="1" w:styleId="PoratDiagrama">
    <w:name w:val="Poraštė Diagrama"/>
    <w:basedOn w:val="Numatytasispastraiposriftas"/>
    <w:link w:val="Porat"/>
    <w:uiPriority w:val="99"/>
    <w:rsid w:val="00236D6B"/>
    <w:rPr>
      <w:rFonts w:ascii="Times New Roman" w:hAnsi="Times New Roman"/>
      <w:sz w:val="24"/>
    </w:rPr>
  </w:style>
  <w:style w:type="paragraph" w:styleId="Pagrindiniotekstotrauka2">
    <w:name w:val="Body Text Indent 2"/>
    <w:basedOn w:val="prastasis"/>
    <w:link w:val="Pagrindiniotekstotrauka2Diagrama"/>
    <w:uiPriority w:val="99"/>
    <w:unhideWhenUsed/>
    <w:rsid w:val="00957D97"/>
    <w:pPr>
      <w:spacing w:before="100" w:beforeAutospacing="1" w:after="100" w:afterAutospacing="1" w:line="240" w:lineRule="auto"/>
      <w:ind w:firstLine="0"/>
      <w:jc w:val="left"/>
    </w:pPr>
    <w:rPr>
      <w:rFonts w:eastAsia="Times New Roman" w:cs="Times New Roman"/>
      <w:szCs w:val="24"/>
      <w:lang w:eastAsia="lt-LT"/>
    </w:rPr>
  </w:style>
  <w:style w:type="character" w:customStyle="1" w:styleId="Pagrindiniotekstotrauka2Diagrama">
    <w:name w:val="Pagrindinio teksto įtrauka 2 Diagrama"/>
    <w:basedOn w:val="Numatytasispastraiposriftas"/>
    <w:link w:val="Pagrindiniotekstotrauka2"/>
    <w:uiPriority w:val="99"/>
    <w:rsid w:val="00957D97"/>
    <w:rPr>
      <w:rFonts w:ascii="Times New Roman" w:eastAsia="Times New Roman" w:hAnsi="Times New Roman" w:cs="Times New Roman"/>
      <w:sz w:val="24"/>
      <w:szCs w:val="24"/>
      <w:lang w:eastAsia="lt-LT"/>
    </w:rPr>
  </w:style>
  <w:style w:type="character" w:customStyle="1" w:styleId="Typewriter">
    <w:name w:val="Typewriter"/>
    <w:rsid w:val="00E83E13"/>
    <w:rPr>
      <w:rFonts w:ascii="Courier New" w:hAnsi="Courier New"/>
      <w:sz w:val="20"/>
    </w:rPr>
  </w:style>
  <w:style w:type="character" w:styleId="Hipersaitas">
    <w:name w:val="Hyperlink"/>
    <w:basedOn w:val="Numatytasispastraiposriftas"/>
    <w:uiPriority w:val="99"/>
    <w:semiHidden/>
    <w:unhideWhenUsed/>
    <w:rsid w:val="00E83E13"/>
    <w:rPr>
      <w:color w:val="0000FF"/>
      <w:u w:val="single"/>
    </w:rPr>
  </w:style>
  <w:style w:type="paragraph" w:styleId="Pagrindiniotekstotrauka">
    <w:name w:val="Body Text Indent"/>
    <w:basedOn w:val="prastasis"/>
    <w:link w:val="PagrindiniotekstotraukaDiagrama"/>
    <w:uiPriority w:val="99"/>
    <w:semiHidden/>
    <w:unhideWhenUsed/>
    <w:rsid w:val="00672414"/>
    <w:pPr>
      <w:spacing w:after="120"/>
      <w:ind w:left="283"/>
    </w:pPr>
  </w:style>
  <w:style w:type="character" w:customStyle="1" w:styleId="PagrindiniotekstotraukaDiagrama">
    <w:name w:val="Pagrindinio teksto įtrauka Diagrama"/>
    <w:basedOn w:val="Numatytasispastraiposriftas"/>
    <w:link w:val="Pagrindiniotekstotrauka"/>
    <w:uiPriority w:val="99"/>
    <w:semiHidden/>
    <w:rsid w:val="00672414"/>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B541F8"/>
    <w:pPr>
      <w:ind w:firstLine="720"/>
    </w:pPr>
    <w:rPr>
      <w:rFonts w:ascii="Times New Roman" w:hAnsi="Times New Roman"/>
      <w:sz w:val="24"/>
    </w:rPr>
  </w:style>
  <w:style w:type="paragraph" w:styleId="Antrat3">
    <w:name w:val="heading 3"/>
    <w:basedOn w:val="prastasis"/>
    <w:next w:val="prastasis"/>
    <w:link w:val="Antrat3Diagrama"/>
    <w:uiPriority w:val="9"/>
    <w:semiHidden/>
    <w:unhideWhenUsed/>
    <w:qFormat/>
    <w:rsid w:val="00F46148"/>
    <w:pPr>
      <w:keepNext/>
      <w:keepLines/>
      <w:spacing w:before="200"/>
      <w:ind w:firstLine="0"/>
      <w:outlineLvl w:val="2"/>
    </w:pPr>
    <w:rPr>
      <w:rFonts w:asciiTheme="majorHAnsi" w:eastAsiaTheme="majorEastAsia" w:hAnsiTheme="majorHAnsi" w:cstheme="majorBidi"/>
      <w:b/>
      <w:bCs/>
      <w:color w:val="4F81BD" w:themeColor="accent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Komitetas">
    <w:name w:val="Komitetas"/>
    <w:basedOn w:val="prastasis"/>
    <w:qFormat/>
    <w:rsid w:val="00F46148"/>
    <w:pPr>
      <w:spacing w:line="240" w:lineRule="auto"/>
      <w:ind w:firstLine="0"/>
      <w:jc w:val="center"/>
    </w:pPr>
    <w:rPr>
      <w:rFonts w:eastAsia="Times New Roman" w:cs="Times New Roman"/>
      <w:b/>
      <w:caps/>
      <w:szCs w:val="24"/>
    </w:rPr>
  </w:style>
  <w:style w:type="paragraph" w:customStyle="1" w:styleId="Projektas">
    <w:name w:val="Projektas"/>
    <w:basedOn w:val="Antrat3"/>
    <w:qFormat/>
    <w:rsid w:val="00F46148"/>
    <w:pPr>
      <w:keepLines w:val="0"/>
      <w:spacing w:before="0" w:line="240" w:lineRule="auto"/>
      <w:jc w:val="center"/>
    </w:pPr>
    <w:rPr>
      <w:rFonts w:ascii="Times New Roman" w:eastAsia="Times New Roman" w:hAnsi="Times New Roman" w:cs="Times New Roman"/>
      <w:caps/>
      <w:color w:val="auto"/>
      <w:szCs w:val="20"/>
    </w:rPr>
  </w:style>
  <w:style w:type="character" w:customStyle="1" w:styleId="Antrat3Diagrama">
    <w:name w:val="Antraštė 3 Diagrama"/>
    <w:basedOn w:val="Numatytasispastraiposriftas"/>
    <w:link w:val="Antrat3"/>
    <w:uiPriority w:val="9"/>
    <w:semiHidden/>
    <w:rsid w:val="00F46148"/>
    <w:rPr>
      <w:rFonts w:asciiTheme="majorHAnsi" w:eastAsiaTheme="majorEastAsia" w:hAnsiTheme="majorHAnsi" w:cstheme="majorBidi"/>
      <w:b/>
      <w:bCs/>
      <w:color w:val="4F81BD" w:themeColor="accent1"/>
      <w:sz w:val="24"/>
    </w:rPr>
  </w:style>
  <w:style w:type="paragraph" w:customStyle="1" w:styleId="Dalyviai">
    <w:name w:val="Dalyviai"/>
    <w:basedOn w:val="prastasis"/>
    <w:qFormat/>
    <w:rsid w:val="00F46148"/>
    <w:pPr>
      <w:spacing w:line="240" w:lineRule="auto"/>
      <w:ind w:firstLine="0"/>
    </w:pPr>
    <w:rPr>
      <w:rFonts w:eastAsia="Times New Roman" w:cs="Times New Roman"/>
      <w:szCs w:val="24"/>
    </w:rPr>
  </w:style>
  <w:style w:type="character" w:customStyle="1" w:styleId="susilaike">
    <w:name w:val="susilaike"/>
    <w:qFormat/>
    <w:rsid w:val="00F46148"/>
    <w:rPr>
      <w:rFonts w:ascii="Times New Roman" w:hAnsi="Times New Roman"/>
    </w:rPr>
  </w:style>
  <w:style w:type="paragraph" w:customStyle="1" w:styleId="Pranesejas">
    <w:name w:val="Pranesejas"/>
    <w:basedOn w:val="Pagrindinistekstas"/>
    <w:qFormat/>
    <w:rsid w:val="00F46148"/>
    <w:pPr>
      <w:spacing w:after="0"/>
    </w:pPr>
    <w:rPr>
      <w:rFonts w:eastAsia="Times New Roman" w:cs="Times New Roman"/>
      <w:szCs w:val="20"/>
    </w:rPr>
  </w:style>
  <w:style w:type="paragraph" w:styleId="Pagrindinistekstas">
    <w:name w:val="Body Text"/>
    <w:basedOn w:val="prastasis"/>
    <w:link w:val="PagrindinistekstasDiagrama"/>
    <w:uiPriority w:val="99"/>
    <w:semiHidden/>
    <w:unhideWhenUsed/>
    <w:rsid w:val="00F46148"/>
    <w:pPr>
      <w:spacing w:after="120"/>
      <w:ind w:firstLine="0"/>
    </w:pPr>
  </w:style>
  <w:style w:type="character" w:customStyle="1" w:styleId="PagrindinistekstasDiagrama">
    <w:name w:val="Pagrindinis tekstas Diagrama"/>
    <w:basedOn w:val="Numatytasispastraiposriftas"/>
    <w:link w:val="Pagrindinistekstas"/>
    <w:uiPriority w:val="99"/>
    <w:semiHidden/>
    <w:rsid w:val="00F46148"/>
    <w:rPr>
      <w:rFonts w:ascii="Times New Roman" w:hAnsi="Times New Roman"/>
      <w:sz w:val="24"/>
    </w:rPr>
  </w:style>
  <w:style w:type="paragraph" w:customStyle="1" w:styleId="Isvadakonsoliduotaiversijai6">
    <w:name w:val="Isvada_konsoliduotai_versijai6"/>
    <w:basedOn w:val="prastasis"/>
    <w:qFormat/>
    <w:rsid w:val="00F46148"/>
    <w:pPr>
      <w:keepNext/>
      <w:spacing w:line="240" w:lineRule="auto"/>
      <w:ind w:firstLine="0"/>
      <w:jc w:val="left"/>
      <w:outlineLvl w:val="5"/>
    </w:pPr>
    <w:rPr>
      <w:rFonts w:eastAsia="Times New Roman" w:cs="Times New Roman"/>
      <w:b/>
      <w:bCs/>
      <w:szCs w:val="20"/>
    </w:rPr>
  </w:style>
  <w:style w:type="paragraph" w:styleId="Antrats">
    <w:name w:val="header"/>
    <w:basedOn w:val="prastasis"/>
    <w:link w:val="AntratsDiagrama"/>
    <w:uiPriority w:val="99"/>
    <w:unhideWhenUsed/>
    <w:rsid w:val="00236D6B"/>
    <w:pPr>
      <w:tabs>
        <w:tab w:val="center" w:pos="4819"/>
        <w:tab w:val="right" w:pos="9638"/>
      </w:tabs>
      <w:spacing w:line="240" w:lineRule="auto"/>
      <w:ind w:firstLine="0"/>
    </w:pPr>
  </w:style>
  <w:style w:type="character" w:customStyle="1" w:styleId="AntratsDiagrama">
    <w:name w:val="Antraštės Diagrama"/>
    <w:basedOn w:val="Numatytasispastraiposriftas"/>
    <w:link w:val="Antrats"/>
    <w:uiPriority w:val="99"/>
    <w:rsid w:val="00236D6B"/>
    <w:rPr>
      <w:rFonts w:ascii="Times New Roman" w:hAnsi="Times New Roman"/>
      <w:sz w:val="24"/>
    </w:rPr>
  </w:style>
  <w:style w:type="paragraph" w:styleId="Porat">
    <w:name w:val="footer"/>
    <w:basedOn w:val="prastasis"/>
    <w:link w:val="PoratDiagrama"/>
    <w:uiPriority w:val="99"/>
    <w:unhideWhenUsed/>
    <w:rsid w:val="00236D6B"/>
    <w:pPr>
      <w:tabs>
        <w:tab w:val="center" w:pos="4819"/>
        <w:tab w:val="right" w:pos="9638"/>
      </w:tabs>
      <w:spacing w:line="240" w:lineRule="auto"/>
      <w:ind w:firstLine="0"/>
    </w:pPr>
  </w:style>
  <w:style w:type="character" w:customStyle="1" w:styleId="PoratDiagrama">
    <w:name w:val="Poraštė Diagrama"/>
    <w:basedOn w:val="Numatytasispastraiposriftas"/>
    <w:link w:val="Porat"/>
    <w:uiPriority w:val="99"/>
    <w:rsid w:val="00236D6B"/>
    <w:rPr>
      <w:rFonts w:ascii="Times New Roman" w:hAnsi="Times New Roman"/>
      <w:sz w:val="24"/>
    </w:rPr>
  </w:style>
  <w:style w:type="paragraph" w:styleId="Pagrindiniotekstotrauka2">
    <w:name w:val="Body Text Indent 2"/>
    <w:basedOn w:val="prastasis"/>
    <w:link w:val="Pagrindiniotekstotrauka2Diagrama"/>
    <w:uiPriority w:val="99"/>
    <w:unhideWhenUsed/>
    <w:rsid w:val="00957D97"/>
    <w:pPr>
      <w:spacing w:before="100" w:beforeAutospacing="1" w:after="100" w:afterAutospacing="1" w:line="240" w:lineRule="auto"/>
      <w:ind w:firstLine="0"/>
      <w:jc w:val="left"/>
    </w:pPr>
    <w:rPr>
      <w:rFonts w:eastAsia="Times New Roman" w:cs="Times New Roman"/>
      <w:szCs w:val="24"/>
      <w:lang w:eastAsia="lt-LT"/>
    </w:rPr>
  </w:style>
  <w:style w:type="character" w:customStyle="1" w:styleId="Pagrindiniotekstotrauka2Diagrama">
    <w:name w:val="Pagrindinio teksto įtrauka 2 Diagrama"/>
    <w:basedOn w:val="Numatytasispastraiposriftas"/>
    <w:link w:val="Pagrindiniotekstotrauka2"/>
    <w:uiPriority w:val="99"/>
    <w:rsid w:val="00957D97"/>
    <w:rPr>
      <w:rFonts w:ascii="Times New Roman" w:eastAsia="Times New Roman" w:hAnsi="Times New Roman" w:cs="Times New Roman"/>
      <w:sz w:val="24"/>
      <w:szCs w:val="24"/>
      <w:lang w:eastAsia="lt-LT"/>
    </w:rPr>
  </w:style>
  <w:style w:type="character" w:customStyle="1" w:styleId="Typewriter">
    <w:name w:val="Typewriter"/>
    <w:rsid w:val="00E83E13"/>
    <w:rPr>
      <w:rFonts w:ascii="Courier New" w:hAnsi="Courier New"/>
      <w:sz w:val="20"/>
    </w:rPr>
  </w:style>
  <w:style w:type="character" w:styleId="Hipersaitas">
    <w:name w:val="Hyperlink"/>
    <w:basedOn w:val="Numatytasispastraiposriftas"/>
    <w:uiPriority w:val="99"/>
    <w:semiHidden/>
    <w:unhideWhenUsed/>
    <w:rsid w:val="00E83E13"/>
    <w:rPr>
      <w:color w:val="0000FF"/>
      <w:u w:val="single"/>
    </w:rPr>
  </w:style>
  <w:style w:type="paragraph" w:styleId="Pagrindiniotekstotrauka">
    <w:name w:val="Body Text Indent"/>
    <w:basedOn w:val="prastasis"/>
    <w:link w:val="PagrindiniotekstotraukaDiagrama"/>
    <w:uiPriority w:val="99"/>
    <w:semiHidden/>
    <w:unhideWhenUsed/>
    <w:rsid w:val="00672414"/>
    <w:pPr>
      <w:spacing w:after="120"/>
      <w:ind w:left="283"/>
    </w:pPr>
  </w:style>
  <w:style w:type="character" w:customStyle="1" w:styleId="PagrindiniotekstotraukaDiagrama">
    <w:name w:val="Pagrindinio teksto įtrauka Diagrama"/>
    <w:basedOn w:val="Numatytasispastraiposriftas"/>
    <w:link w:val="Pagrindiniotekstotrauka"/>
    <w:uiPriority w:val="99"/>
    <w:semiHidden/>
    <w:rsid w:val="00672414"/>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6597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lt.wikipedia.org/wiki/Juodojo_kaspino_diena"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7</Pages>
  <Words>11663</Words>
  <Characters>6649</Characters>
  <Application>Microsoft Office Word</Application>
  <DocSecurity>0</DocSecurity>
  <Lines>55</Lines>
  <Paragraphs>36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18276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ŠNIAUKŠTIENĖ Janina</dc:creator>
  <cp:lastModifiedBy>ŠNIAUKŠTIENĖ Janina</cp:lastModifiedBy>
  <cp:revision>17</cp:revision>
  <dcterms:created xsi:type="dcterms:W3CDTF">2015-09-29T04:58:00Z</dcterms:created>
  <dcterms:modified xsi:type="dcterms:W3CDTF">2015-10-02T05:16:00Z</dcterms:modified>
</cp:coreProperties>
</file>