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CEF" w:rsidRDefault="00721CEF" w:rsidP="00721CEF">
      <w:pPr>
        <w:jc w:val="center"/>
        <w:rPr>
          <w:rFonts w:cs="Times New Roman"/>
          <w:b/>
          <w:szCs w:val="24"/>
        </w:rPr>
      </w:pPr>
      <w:r w:rsidRPr="0025634D">
        <w:rPr>
          <w:rFonts w:cs="Times New Roman"/>
          <w:b/>
          <w:szCs w:val="24"/>
        </w:rPr>
        <w:t>Pranešimas ap</w:t>
      </w:r>
      <w:r>
        <w:rPr>
          <w:rFonts w:cs="Times New Roman"/>
          <w:b/>
          <w:szCs w:val="24"/>
        </w:rPr>
        <w:t>ie Komisijos 2015 m. rugsėjo 16</w:t>
      </w:r>
      <w:r w:rsidRPr="0025634D">
        <w:rPr>
          <w:rFonts w:cs="Times New Roman"/>
          <w:b/>
          <w:szCs w:val="24"/>
        </w:rPr>
        <w:t xml:space="preserve"> d. posėdyje nagrinėtus klausimus ir priimtus sprendimus</w:t>
      </w:r>
    </w:p>
    <w:p w:rsidR="00721CEF" w:rsidRPr="0025634D" w:rsidRDefault="00721CEF" w:rsidP="00721CEF">
      <w:pPr>
        <w:jc w:val="center"/>
        <w:rPr>
          <w:rFonts w:cs="Times New Roman"/>
          <w:b/>
          <w:szCs w:val="24"/>
        </w:rPr>
      </w:pPr>
    </w:p>
    <w:p w:rsidR="00721CEF" w:rsidRPr="0025634D" w:rsidRDefault="00721CEF" w:rsidP="00721CEF">
      <w:pPr>
        <w:rPr>
          <w:rFonts w:cs="Times New Roman"/>
          <w:szCs w:val="24"/>
        </w:rPr>
      </w:pPr>
      <w:r>
        <w:rPr>
          <w:rFonts w:cs="Times New Roman"/>
          <w:szCs w:val="24"/>
        </w:rPr>
        <w:t>Komisijos 2015 m.  rugsėjo 16</w:t>
      </w:r>
      <w:r w:rsidRPr="0025634D">
        <w:rPr>
          <w:rFonts w:cs="Times New Roman"/>
          <w:szCs w:val="24"/>
        </w:rPr>
        <w:t xml:space="preserve"> d. posėdyje buvo nagrinėjami šie klausimai:</w:t>
      </w:r>
    </w:p>
    <w:p w:rsidR="00721CEF" w:rsidRPr="00796DD9" w:rsidRDefault="00721CEF" w:rsidP="00721CEF">
      <w:pPr>
        <w:rPr>
          <w:szCs w:val="24"/>
        </w:rPr>
      </w:pPr>
      <w:r>
        <w:rPr>
          <w:szCs w:val="24"/>
        </w:rPr>
        <w:t xml:space="preserve">1. </w:t>
      </w:r>
      <w:r w:rsidR="006C13A6">
        <w:rPr>
          <w:szCs w:val="24"/>
        </w:rPr>
        <w:t xml:space="preserve">Gražinos Marijos </w:t>
      </w:r>
      <w:proofErr w:type="spellStart"/>
      <w:r w:rsidR="006C13A6">
        <w:rPr>
          <w:szCs w:val="24"/>
        </w:rPr>
        <w:t>Palukaitienės</w:t>
      </w:r>
      <w:proofErr w:type="spellEnd"/>
      <w:r w:rsidR="006C13A6">
        <w:rPr>
          <w:szCs w:val="24"/>
        </w:rPr>
        <w:t xml:space="preserve"> peticijos </w:t>
      </w:r>
      <w:r w:rsidR="006C13A6" w:rsidRPr="00AD6BDA">
        <w:rPr>
          <w:szCs w:val="24"/>
        </w:rPr>
        <w:t>„</w:t>
      </w:r>
      <w:r w:rsidR="006C13A6">
        <w:rPr>
          <w:szCs w:val="24"/>
        </w:rPr>
        <w:t>Dėl santuokoje įgyto turto paveldėjimo įstatymo tobulinimo</w:t>
      </w:r>
      <w:r w:rsidR="006C13A6" w:rsidRPr="00891704">
        <w:rPr>
          <w:szCs w:val="24"/>
        </w:rPr>
        <w:t>“</w:t>
      </w:r>
      <w:r w:rsidR="006C13A6">
        <w:rPr>
          <w:szCs w:val="24"/>
        </w:rPr>
        <w:t xml:space="preserve"> nagrinėjimas iš esmės.</w:t>
      </w:r>
      <w:r w:rsidR="00891204">
        <w:rPr>
          <w:szCs w:val="24"/>
        </w:rPr>
        <w:t xml:space="preserve"> </w:t>
      </w:r>
    </w:p>
    <w:p w:rsidR="00217183" w:rsidRDefault="006C13A6" w:rsidP="00217183">
      <w:pPr>
        <w:rPr>
          <w:szCs w:val="24"/>
        </w:rPr>
      </w:pPr>
      <w:r>
        <w:rPr>
          <w:rFonts w:cs="Times New Roman"/>
          <w:szCs w:val="24"/>
        </w:rPr>
        <w:t>2</w:t>
      </w:r>
      <w:r w:rsidR="00721CEF" w:rsidRPr="0025634D">
        <w:rPr>
          <w:rFonts w:cs="Times New Roman"/>
          <w:szCs w:val="24"/>
        </w:rPr>
        <w:t xml:space="preserve">. </w:t>
      </w:r>
      <w:r>
        <w:rPr>
          <w:szCs w:val="24"/>
        </w:rPr>
        <w:t>Ričardo Rimkaus peticijos „Dėl Lietuvos Respublikos valstybės tarnybos įstatymo 7 straipsnio pakeitimo“ nagrinėjimas iš esmės.</w:t>
      </w:r>
    </w:p>
    <w:p w:rsidR="006C13A6" w:rsidRDefault="006C13A6" w:rsidP="00217183">
      <w:r>
        <w:rPr>
          <w:szCs w:val="24"/>
        </w:rPr>
        <w:t>3.</w:t>
      </w:r>
      <w:r w:rsidRPr="006C13A6">
        <w:rPr>
          <w:szCs w:val="24"/>
        </w:rPr>
        <w:t xml:space="preserve"> </w:t>
      </w:r>
      <w:r>
        <w:rPr>
          <w:szCs w:val="24"/>
        </w:rPr>
        <w:t xml:space="preserve">Dėl Rimos </w:t>
      </w:r>
      <w:proofErr w:type="spellStart"/>
      <w:r>
        <w:rPr>
          <w:szCs w:val="24"/>
        </w:rPr>
        <w:t>Krikvienės</w:t>
      </w:r>
      <w:proofErr w:type="spellEnd"/>
      <w:r>
        <w:rPr>
          <w:szCs w:val="24"/>
        </w:rPr>
        <w:t xml:space="preserve"> ir k</w:t>
      </w:r>
      <w:r w:rsidR="00FF0B87">
        <w:rPr>
          <w:szCs w:val="24"/>
        </w:rPr>
        <w:t>i</w:t>
      </w:r>
      <w:r>
        <w:rPr>
          <w:szCs w:val="24"/>
        </w:rPr>
        <w:t xml:space="preserve">tų pareiškėjų kreipimosi </w:t>
      </w:r>
      <w:r>
        <w:t>„Dėl Lietuvos Respublikos bausmių vykdymo kodekso pakeitimo įstatymo Nr. XII-1818 pakeitimo.“</w:t>
      </w:r>
    </w:p>
    <w:p w:rsidR="006C13A6" w:rsidRDefault="006C13A6" w:rsidP="00217183">
      <w:pPr>
        <w:rPr>
          <w:rFonts w:eastAsia="TimesNewRomanPSMT"/>
          <w:szCs w:val="24"/>
        </w:rPr>
      </w:pPr>
      <w:r>
        <w:rPr>
          <w:rFonts w:eastAsia="TimesNewRomanPSMT"/>
          <w:szCs w:val="24"/>
        </w:rPr>
        <w:t xml:space="preserve">4. Dėl Igno Meškausko kreipimosi </w:t>
      </w:r>
      <w:r w:rsidRPr="00C146C1">
        <w:rPr>
          <w:rFonts w:eastAsia="TimesNewRomanPSMT"/>
          <w:szCs w:val="24"/>
        </w:rPr>
        <w:t>„Dėl Lietuvos Respublikos</w:t>
      </w:r>
      <w:r>
        <w:rPr>
          <w:rFonts w:eastAsia="TimesNewRomanPSMT"/>
          <w:szCs w:val="24"/>
        </w:rPr>
        <w:t xml:space="preserve"> vietos savivaldos įstatymo 7 straipsnio ir </w:t>
      </w:r>
      <w:r w:rsidRPr="00C146C1">
        <w:rPr>
          <w:rFonts w:eastAsia="TimesNewRomanPSMT"/>
          <w:szCs w:val="24"/>
        </w:rPr>
        <w:t xml:space="preserve">Lietuvos Respublikos </w:t>
      </w:r>
      <w:r>
        <w:rPr>
          <w:rFonts w:eastAsia="TimesNewRomanPSMT"/>
          <w:szCs w:val="24"/>
        </w:rPr>
        <w:t>valstybės tarnybos įstatymo 11 straipsnio pakeitimo</w:t>
      </w:r>
      <w:r w:rsidRPr="00C146C1">
        <w:rPr>
          <w:rFonts w:eastAsia="TimesNewRomanPSMT"/>
          <w:szCs w:val="24"/>
        </w:rPr>
        <w:t>“</w:t>
      </w:r>
      <w:r>
        <w:rPr>
          <w:rFonts w:eastAsia="TimesNewRomanPSMT"/>
          <w:szCs w:val="24"/>
        </w:rPr>
        <w:t>.</w:t>
      </w:r>
    </w:p>
    <w:p w:rsidR="00212A24" w:rsidRPr="002606C6" w:rsidRDefault="006C13A6" w:rsidP="00212A24">
      <w:pPr>
        <w:autoSpaceDE w:val="0"/>
        <w:autoSpaceDN w:val="0"/>
        <w:adjustRightInd w:val="0"/>
        <w:ind w:firstLine="709"/>
        <w:rPr>
          <w:bCs/>
          <w:szCs w:val="24"/>
        </w:rPr>
      </w:pPr>
      <w:r>
        <w:rPr>
          <w:rFonts w:eastAsia="TimesNewRomanPSMT"/>
          <w:szCs w:val="24"/>
        </w:rPr>
        <w:t>Pirmuoju klausimu buvo priimtas sprendimas</w:t>
      </w:r>
      <w:r w:rsidR="00212A24">
        <w:rPr>
          <w:rFonts w:eastAsia="TimesNewRomanPSMT"/>
          <w:szCs w:val="24"/>
        </w:rPr>
        <w:t xml:space="preserve"> atmesti </w:t>
      </w:r>
      <w:r w:rsidR="00212A24">
        <w:rPr>
          <w:szCs w:val="24"/>
        </w:rPr>
        <w:t xml:space="preserve">Gražinos Marijos </w:t>
      </w:r>
      <w:proofErr w:type="spellStart"/>
      <w:r w:rsidR="00212A24">
        <w:rPr>
          <w:szCs w:val="24"/>
        </w:rPr>
        <w:t>Palukaitienės</w:t>
      </w:r>
      <w:proofErr w:type="spellEnd"/>
      <w:r w:rsidR="00212A24">
        <w:rPr>
          <w:szCs w:val="24"/>
        </w:rPr>
        <w:t xml:space="preserve"> peticijoje </w:t>
      </w:r>
      <w:r w:rsidR="00212A24" w:rsidRPr="00AD6BDA">
        <w:rPr>
          <w:szCs w:val="24"/>
        </w:rPr>
        <w:t>„</w:t>
      </w:r>
      <w:r w:rsidR="00212A24">
        <w:rPr>
          <w:szCs w:val="24"/>
        </w:rPr>
        <w:t>Dėl santuokoje įgyto turto paveldėjimo įstatymo tobulinimo</w:t>
      </w:r>
      <w:r w:rsidR="00212A24" w:rsidRPr="00891704">
        <w:rPr>
          <w:szCs w:val="24"/>
        </w:rPr>
        <w:t>“</w:t>
      </w:r>
      <w:r w:rsidR="00212A24" w:rsidRPr="00AD6BDA">
        <w:rPr>
          <w:szCs w:val="24"/>
        </w:rPr>
        <w:t xml:space="preserve"> </w:t>
      </w:r>
      <w:r w:rsidR="00212A24" w:rsidRPr="002606C6">
        <w:rPr>
          <w:szCs w:val="24"/>
        </w:rPr>
        <w:t xml:space="preserve">pateiktą pasiūlymą </w:t>
      </w:r>
      <w:r w:rsidR="00212A24" w:rsidRPr="00DA0E33">
        <w:rPr>
          <w:rFonts w:eastAsia="SegoeUI"/>
          <w:szCs w:val="24"/>
        </w:rPr>
        <w:t xml:space="preserve">pakeisti </w:t>
      </w:r>
      <w:r w:rsidR="00212A24">
        <w:rPr>
          <w:szCs w:val="24"/>
        </w:rPr>
        <w:t>Lietuvos Respublikos c</w:t>
      </w:r>
      <w:r w:rsidR="00212A24" w:rsidRPr="00DA0E33">
        <w:rPr>
          <w:szCs w:val="24"/>
        </w:rPr>
        <w:t>ivilinį kodeksą taip, kad mirus vienam iš sutuoktinių, tu</w:t>
      </w:r>
      <w:r w:rsidR="00212A24">
        <w:rPr>
          <w:szCs w:val="24"/>
        </w:rPr>
        <w:t>rtą</w:t>
      </w:r>
      <w:r w:rsidR="00212A24" w:rsidRPr="00DA0E33">
        <w:rPr>
          <w:szCs w:val="24"/>
        </w:rPr>
        <w:t xml:space="preserve"> pagal įstatymą </w:t>
      </w:r>
      <w:r w:rsidR="00212A24" w:rsidRPr="000076DC">
        <w:rPr>
          <w:szCs w:val="24"/>
        </w:rPr>
        <w:t xml:space="preserve">paveldėtų </w:t>
      </w:r>
      <w:r w:rsidR="00212A24">
        <w:rPr>
          <w:szCs w:val="24"/>
          <w:lang w:eastAsia="lt-LT"/>
        </w:rPr>
        <w:t>p</w:t>
      </w:r>
      <w:r w:rsidR="00212A24" w:rsidRPr="000076DC">
        <w:rPr>
          <w:szCs w:val="24"/>
          <w:lang w:eastAsia="lt-LT"/>
        </w:rPr>
        <w:t>alikėją pergyvenęs sutuoktinis</w:t>
      </w:r>
      <w:r w:rsidR="00212A24">
        <w:rPr>
          <w:szCs w:val="24"/>
          <w:lang w:eastAsia="lt-LT"/>
        </w:rPr>
        <w:t>.</w:t>
      </w:r>
    </w:p>
    <w:p w:rsidR="00212A24" w:rsidRPr="002522EF" w:rsidRDefault="00212A24" w:rsidP="00212A24">
      <w:pPr>
        <w:rPr>
          <w:szCs w:val="24"/>
        </w:rPr>
      </w:pPr>
      <w:r w:rsidRPr="002606C6">
        <w:rPr>
          <w:color w:val="000000"/>
          <w:szCs w:val="24"/>
        </w:rPr>
        <w:t xml:space="preserve">Komisija šį sprendimą priėmė, atsižvelgusi į Lietuvos Respublikos </w:t>
      </w:r>
      <w:r>
        <w:rPr>
          <w:color w:val="000000"/>
          <w:szCs w:val="24"/>
        </w:rPr>
        <w:t>teisingumo</w:t>
      </w:r>
      <w:r w:rsidRPr="002606C6">
        <w:rPr>
          <w:color w:val="000000"/>
          <w:szCs w:val="24"/>
        </w:rPr>
        <w:t xml:space="preserve"> ministerijos pateiktą nuomonę ir </w:t>
      </w:r>
      <w:r w:rsidRPr="002606C6">
        <w:rPr>
          <w:szCs w:val="24"/>
        </w:rPr>
        <w:t xml:space="preserve">manydama, kad </w:t>
      </w:r>
      <w:r>
        <w:rPr>
          <w:rFonts w:eastAsia="TimesNewRomanPSMT"/>
          <w:szCs w:val="24"/>
        </w:rPr>
        <w:t>Lietuvos Respublikos civilinio kodekso</w:t>
      </w:r>
      <w:r w:rsidRPr="00E50D44">
        <w:rPr>
          <w:rFonts w:eastAsia="TimesNewRomanPSMT"/>
          <w:szCs w:val="24"/>
        </w:rPr>
        <w:t xml:space="preserve"> 5.13 straipsnio nuostatos, pagal kurias pergyvenęs sutuoktinis nepaveldi viso savo sutuoktinio turto, </w:t>
      </w:r>
      <w:proofErr w:type="spellStart"/>
      <w:r w:rsidRPr="00E50D44">
        <w:rPr>
          <w:rFonts w:eastAsia="TimesNewRomanPSMT"/>
          <w:szCs w:val="24"/>
        </w:rPr>
        <w:t>sistemiškai</w:t>
      </w:r>
      <w:proofErr w:type="spellEnd"/>
      <w:r w:rsidRPr="00E50D44">
        <w:rPr>
          <w:rFonts w:eastAsia="TimesNewRomanPSMT"/>
          <w:szCs w:val="24"/>
        </w:rPr>
        <w:t xml:space="preserve"> dera su </w:t>
      </w:r>
      <w:r>
        <w:rPr>
          <w:rFonts w:eastAsia="TimesNewRomanPSMT"/>
          <w:szCs w:val="24"/>
        </w:rPr>
        <w:t>Civilinio kodekso</w:t>
      </w:r>
      <w:r w:rsidRPr="00E50D44">
        <w:rPr>
          <w:rFonts w:eastAsia="TimesNewRomanPSMT"/>
          <w:szCs w:val="24"/>
        </w:rPr>
        <w:t xml:space="preserve"> nuostatomis, reguliuojančiomis sutuoktinių turto teisinį režimą, ir neturėtų būti vertinamos kaip pažeidžiančios pergyvenusio sutuoktinio turtines teises ir interesus.</w:t>
      </w:r>
    </w:p>
    <w:p w:rsidR="00212A24" w:rsidRPr="002522EF" w:rsidRDefault="00212A24" w:rsidP="00212A24">
      <w:pPr>
        <w:tabs>
          <w:tab w:val="left" w:pos="4678"/>
        </w:tabs>
        <w:autoSpaceDE w:val="0"/>
        <w:autoSpaceDN w:val="0"/>
        <w:adjustRightInd w:val="0"/>
        <w:ind w:firstLine="709"/>
        <w:rPr>
          <w:rFonts w:eastAsia="TimesNewRomanPSMT"/>
          <w:szCs w:val="24"/>
        </w:rPr>
      </w:pPr>
      <w:r>
        <w:rPr>
          <w:szCs w:val="24"/>
        </w:rPr>
        <w:t xml:space="preserve">Pagal šiuo metu </w:t>
      </w:r>
      <w:r w:rsidRPr="002522EF">
        <w:rPr>
          <w:szCs w:val="24"/>
        </w:rPr>
        <w:t xml:space="preserve">galiojančias </w:t>
      </w:r>
      <w:r>
        <w:rPr>
          <w:rFonts w:eastAsia="TimesNewRomanPSMT"/>
          <w:szCs w:val="24"/>
        </w:rPr>
        <w:t>Civilinio kodekso</w:t>
      </w:r>
      <w:r w:rsidRPr="00E50D44">
        <w:rPr>
          <w:rFonts w:eastAsia="TimesNewRomanPSMT"/>
          <w:szCs w:val="24"/>
        </w:rPr>
        <w:t xml:space="preserve"> </w:t>
      </w:r>
      <w:r>
        <w:rPr>
          <w:szCs w:val="24"/>
        </w:rPr>
        <w:t xml:space="preserve">5.13 straipsnio nuostatas </w:t>
      </w:r>
      <w:r w:rsidRPr="002522EF">
        <w:rPr>
          <w:szCs w:val="24"/>
        </w:rPr>
        <w:t>palikėją pergyvenęs sutuoktinis pavel</w:t>
      </w:r>
      <w:r>
        <w:rPr>
          <w:szCs w:val="24"/>
        </w:rPr>
        <w:t>di pagal įstatymą arba su pirmos</w:t>
      </w:r>
      <w:r w:rsidRPr="002522EF">
        <w:rPr>
          <w:szCs w:val="24"/>
        </w:rPr>
        <w:t xml:space="preserve"> ar antros eilės</w:t>
      </w:r>
      <w:r>
        <w:rPr>
          <w:szCs w:val="24"/>
        </w:rPr>
        <w:t xml:space="preserve"> įpėdiniais (jeigu jų yra).</w:t>
      </w:r>
      <w:r w:rsidRPr="002522EF">
        <w:rPr>
          <w:szCs w:val="24"/>
        </w:rPr>
        <w:t xml:space="preserve"> Su pirmos eilės įpėdiniai</w:t>
      </w:r>
      <w:r>
        <w:rPr>
          <w:szCs w:val="24"/>
        </w:rPr>
        <w:t>s (</w:t>
      </w:r>
      <w:proofErr w:type="spellStart"/>
      <w:r>
        <w:rPr>
          <w:szCs w:val="24"/>
        </w:rPr>
        <w:t>palikėjo</w:t>
      </w:r>
      <w:proofErr w:type="spellEnd"/>
      <w:r>
        <w:rPr>
          <w:szCs w:val="24"/>
        </w:rPr>
        <w:t xml:space="preserve"> vaikais (įvaikiais)</w:t>
      </w:r>
      <w:r w:rsidRPr="002522EF">
        <w:rPr>
          <w:szCs w:val="24"/>
        </w:rPr>
        <w:t xml:space="preserve"> jis paveldi vieną</w:t>
      </w:r>
      <w:r>
        <w:rPr>
          <w:szCs w:val="24"/>
        </w:rPr>
        <w:t xml:space="preserve"> </w:t>
      </w:r>
      <w:r w:rsidRPr="002522EF">
        <w:rPr>
          <w:szCs w:val="24"/>
        </w:rPr>
        <w:t>ketvirtadalį palikimo, jeigu įpėdinių ne daugiau kaip trys, neskaitant sutuoktinio. Jeigu įpėdinių</w:t>
      </w:r>
      <w:r>
        <w:rPr>
          <w:szCs w:val="24"/>
        </w:rPr>
        <w:t xml:space="preserve"> </w:t>
      </w:r>
      <w:r w:rsidRPr="002522EF">
        <w:rPr>
          <w:szCs w:val="24"/>
        </w:rPr>
        <w:t>daugiau kaip trys, sutuoktinis paveldi lygiomis dalimis su kitais įpėdiniais. Jeigu sutuoktinis paveldi</w:t>
      </w:r>
      <w:r>
        <w:rPr>
          <w:szCs w:val="24"/>
        </w:rPr>
        <w:t xml:space="preserve"> </w:t>
      </w:r>
      <w:r w:rsidRPr="002522EF">
        <w:rPr>
          <w:szCs w:val="24"/>
        </w:rPr>
        <w:t>su antros eilės įpėdiniais (</w:t>
      </w:r>
      <w:proofErr w:type="spellStart"/>
      <w:r w:rsidRPr="002522EF">
        <w:rPr>
          <w:szCs w:val="24"/>
        </w:rPr>
        <w:t>palikėjo</w:t>
      </w:r>
      <w:proofErr w:type="spellEnd"/>
      <w:r w:rsidRPr="002522EF">
        <w:rPr>
          <w:szCs w:val="24"/>
        </w:rPr>
        <w:t xml:space="preserve"> tėvais (įtėviais), vaikaičiais), jam priklauso pusė palikimo.</w:t>
      </w:r>
      <w:r>
        <w:rPr>
          <w:szCs w:val="24"/>
        </w:rPr>
        <w:t xml:space="preserve"> </w:t>
      </w:r>
      <w:r w:rsidRPr="002522EF">
        <w:rPr>
          <w:szCs w:val="24"/>
        </w:rPr>
        <w:t xml:space="preserve">Nesant pirmos ir antros eilės įpėdinių, sutuoktinis paveldi visą palikimą. Vadovaujantis </w:t>
      </w:r>
      <w:r>
        <w:rPr>
          <w:rFonts w:eastAsia="TimesNewRomanPSMT"/>
          <w:szCs w:val="24"/>
        </w:rPr>
        <w:t>Civilinio kodekso</w:t>
      </w:r>
      <w:r w:rsidRPr="00E50D44">
        <w:rPr>
          <w:rFonts w:eastAsia="TimesNewRomanPSMT"/>
          <w:szCs w:val="24"/>
        </w:rPr>
        <w:t xml:space="preserve"> </w:t>
      </w:r>
      <w:r w:rsidRPr="002522EF">
        <w:rPr>
          <w:szCs w:val="24"/>
        </w:rPr>
        <w:t>5.68 straipsniu, kai yra keletas įpėdinių, jų paveldėtas turtas yra visų šių įpėdinių bendroji dalinė</w:t>
      </w:r>
      <w:r>
        <w:rPr>
          <w:szCs w:val="24"/>
        </w:rPr>
        <w:t xml:space="preserve"> </w:t>
      </w:r>
      <w:r w:rsidRPr="002522EF">
        <w:rPr>
          <w:szCs w:val="24"/>
        </w:rPr>
        <w:t>nuosavybė, jeigu testamentu nenustatyta kitaip.</w:t>
      </w:r>
    </w:p>
    <w:p w:rsidR="00212A24" w:rsidRPr="00E50D44" w:rsidRDefault="00212A24" w:rsidP="00212A24">
      <w:pPr>
        <w:autoSpaceDE w:val="0"/>
        <w:autoSpaceDN w:val="0"/>
        <w:adjustRightInd w:val="0"/>
        <w:rPr>
          <w:rFonts w:eastAsia="TimesNewRomanPSMT"/>
          <w:szCs w:val="24"/>
        </w:rPr>
      </w:pPr>
      <w:r>
        <w:rPr>
          <w:rFonts w:eastAsia="TimesNewRomanPSMT"/>
          <w:szCs w:val="24"/>
        </w:rPr>
        <w:t>Pažymėtina</w:t>
      </w:r>
      <w:r w:rsidRPr="00E50D44">
        <w:rPr>
          <w:rFonts w:eastAsia="TimesNewRomanPSMT"/>
          <w:szCs w:val="24"/>
        </w:rPr>
        <w:t>, kad yra paveldimos tik mirusiam fiziniam asmeniui priklausiusios turtinės teisės, pareigos ir kai kur</w:t>
      </w:r>
      <w:r>
        <w:rPr>
          <w:rFonts w:eastAsia="TimesNewRomanPSMT"/>
          <w:szCs w:val="24"/>
        </w:rPr>
        <w:t>ios asmeninės neturtinės teisės, todėl</w:t>
      </w:r>
      <w:r w:rsidRPr="00E50D44">
        <w:rPr>
          <w:rFonts w:eastAsia="TimesNewRomanPSMT"/>
          <w:szCs w:val="24"/>
        </w:rPr>
        <w:t xml:space="preserve"> mirus vienam iš sutuoktinių, </w:t>
      </w:r>
      <w:r>
        <w:rPr>
          <w:rFonts w:eastAsia="TimesNewRomanPSMT"/>
          <w:szCs w:val="24"/>
        </w:rPr>
        <w:t>yra aktualios ir Civilinio kodekso</w:t>
      </w:r>
      <w:r w:rsidRPr="00E50D44">
        <w:rPr>
          <w:rFonts w:eastAsia="TimesNewRomanPSMT"/>
          <w:szCs w:val="24"/>
        </w:rPr>
        <w:t xml:space="preserve"> nuostatos, reguliuojančios sutuoktinių turto teisinį režimą. Skiriamas pagal įstatymus ir pagal sutartis nustatytas sutuoktinių turto teisinis režimas. Jeigu sutuoktiniai nėra sudarę vedybų sutarties, jų turtui bus taikomas įstatymų nustatytas teisinis režimas, kuris reiškia, </w:t>
      </w:r>
      <w:r w:rsidRPr="00E50D44">
        <w:rPr>
          <w:rFonts w:eastAsia="TimesNewRomanPSMT"/>
          <w:szCs w:val="24"/>
        </w:rPr>
        <w:lastRenderedPageBreak/>
        <w:t>kad turtas, sutuoktinių įgytas po santuokos sudarymo, yra jų bendroji jungtinė nuosavybė. Kadangi vienam iš sutuoktinių mirus, santuoka ir atitinkamai kartu bendroji jungtinė sutuoktinių nuosavybė baigiasi</w:t>
      </w:r>
      <w:r>
        <w:rPr>
          <w:rFonts w:eastAsia="TimesNewRomanPSMT"/>
          <w:szCs w:val="24"/>
        </w:rPr>
        <w:t>,</w:t>
      </w:r>
      <w:r w:rsidRPr="00E50D44">
        <w:rPr>
          <w:rFonts w:eastAsia="TimesNewRomanPSMT"/>
          <w:szCs w:val="24"/>
        </w:rPr>
        <w:t xml:space="preserve"> taip pat aktualios </w:t>
      </w:r>
      <w:r>
        <w:rPr>
          <w:rFonts w:eastAsia="TimesNewRomanPSMT"/>
          <w:szCs w:val="24"/>
        </w:rPr>
        <w:t>Civilinio kodekso</w:t>
      </w:r>
      <w:r w:rsidRPr="00E50D44">
        <w:rPr>
          <w:rFonts w:eastAsia="TimesNewRomanPSMT"/>
          <w:szCs w:val="24"/>
        </w:rPr>
        <w:t xml:space="preserve"> nuostatos, reguliuojančios turto, kuris yra bendroji jungtinė sutuo</w:t>
      </w:r>
      <w:r>
        <w:rPr>
          <w:rFonts w:eastAsia="TimesNewRomanPSMT"/>
          <w:szCs w:val="24"/>
        </w:rPr>
        <w:t>ktinių nuosavybė, padalijimą. Civilinio kodekso</w:t>
      </w:r>
      <w:r w:rsidRPr="00E50D44">
        <w:rPr>
          <w:rFonts w:eastAsia="TimesNewRomanPSMT"/>
          <w:szCs w:val="24"/>
        </w:rPr>
        <w:t xml:space="preserve"> 3.117 straipsnyje įtvirtinta bendra prezumpcija, kad sutuoktinių turto dalys yra lygios. Atsižvelgiant į nurodytą teisinį reguliavimą, mirus vienam iš sutuoktinių, pergyvenusiam sutuoktiniui paprastai lieka pusė sutuoktinių bendro turto. Toks turtas asmeninės nuosavybės teise priklauso pergyvenusiam sutuoktiniui ir į paveldimo turto masę neįtraukiamas. Taigi, paveldėjimo teisės nuostatos reguliuoja mirusiam sutuoktiniui priklausiusios bendrosios jungtinės nuosavybės dalies, taip pat jo asmeninės nuosavybės (pavyzdžiui, jo atskirai iki santuokos sudarymo įgyto, jam dovanoto ar jo paveldėto turto), į</w:t>
      </w:r>
      <w:r>
        <w:rPr>
          <w:rFonts w:eastAsia="TimesNewRomanPSMT"/>
          <w:szCs w:val="24"/>
        </w:rPr>
        <w:t xml:space="preserve"> kurią, vadovaujantis Civilinio kodekso</w:t>
      </w:r>
      <w:r w:rsidRPr="00E50D44">
        <w:rPr>
          <w:rFonts w:eastAsia="TimesNewRomanPSMT"/>
          <w:szCs w:val="24"/>
        </w:rPr>
        <w:t xml:space="preserve"> 5.13 straipsnio nuostatomis, pergyvenęs sutuoktinis taip pat gali pretenduoti, paveldėjimą.</w:t>
      </w:r>
    </w:p>
    <w:p w:rsidR="00212A24" w:rsidRDefault="00212A24" w:rsidP="00212A24">
      <w:pPr>
        <w:autoSpaceDE w:val="0"/>
        <w:autoSpaceDN w:val="0"/>
        <w:adjustRightInd w:val="0"/>
        <w:rPr>
          <w:rFonts w:eastAsia="TimesNewRomanPSMT"/>
          <w:szCs w:val="24"/>
        </w:rPr>
      </w:pPr>
      <w:r>
        <w:rPr>
          <w:rFonts w:eastAsia="TimesNewRomanPSMT"/>
          <w:szCs w:val="24"/>
        </w:rPr>
        <w:t>Pažymėtin</w:t>
      </w:r>
      <w:r w:rsidRPr="00E50D44">
        <w:rPr>
          <w:rFonts w:eastAsia="TimesNewRomanPSMT"/>
          <w:szCs w:val="24"/>
        </w:rPr>
        <w:t>a, kad paveldėjimo teisės normos ir testamento institutas be žymesnių pakeitimų ne vieną šimtmetį taikomi Lietuvos Respublikos teisinėje sis</w:t>
      </w:r>
      <w:r>
        <w:rPr>
          <w:rFonts w:eastAsia="TimesNewRomanPSMT"/>
          <w:szCs w:val="24"/>
        </w:rPr>
        <w:t>temoje ir yra žinomi visuomenei, todėl abejotini pareiškėjos argumentai dėl šių galiojančių teisės normų nežinojimo.</w:t>
      </w:r>
      <w:r w:rsidRPr="00E50D44">
        <w:rPr>
          <w:rFonts w:eastAsia="TimesNewRomanPSMT"/>
          <w:szCs w:val="24"/>
        </w:rPr>
        <w:t xml:space="preserve"> </w:t>
      </w:r>
    </w:p>
    <w:p w:rsidR="00212A24" w:rsidRDefault="00212A24" w:rsidP="00212A24">
      <w:pPr>
        <w:autoSpaceDE w:val="0"/>
        <w:autoSpaceDN w:val="0"/>
        <w:adjustRightInd w:val="0"/>
        <w:rPr>
          <w:rFonts w:eastAsia="TimesNewRomanPSMT"/>
          <w:szCs w:val="24"/>
        </w:rPr>
      </w:pPr>
      <w:r>
        <w:rPr>
          <w:rFonts w:eastAsia="TimesNewRomanPSMT"/>
          <w:szCs w:val="24"/>
        </w:rPr>
        <w:t xml:space="preserve">Be to, </w:t>
      </w:r>
      <w:r w:rsidRPr="00E50D44">
        <w:rPr>
          <w:rFonts w:eastAsia="TimesNewRomanPSMT"/>
          <w:szCs w:val="24"/>
        </w:rPr>
        <w:t xml:space="preserve">valstybė, reguliuodama paveldėjimo teisinius santykius, turi užtikrinti, kad būtų laikomasi dar iš romėnų teisės atėjusio šeimos paveldėjimo principo, kurį </w:t>
      </w:r>
      <w:r>
        <w:rPr>
          <w:rFonts w:eastAsia="TimesNewRomanPSMT"/>
          <w:szCs w:val="24"/>
        </w:rPr>
        <w:t>atspindi Civilinio kodekso</w:t>
      </w:r>
      <w:r w:rsidRPr="00E50D44">
        <w:rPr>
          <w:rFonts w:eastAsia="TimesNewRomanPSMT"/>
          <w:szCs w:val="24"/>
        </w:rPr>
        <w:t xml:space="preserve"> </w:t>
      </w:r>
      <w:r>
        <w:rPr>
          <w:rFonts w:eastAsia="TimesNewRomanPSMT"/>
          <w:szCs w:val="24"/>
        </w:rPr>
        <w:t xml:space="preserve">5.11 </w:t>
      </w:r>
      <w:r w:rsidRPr="00E50D44">
        <w:rPr>
          <w:rFonts w:eastAsia="TimesNewRomanPSMT"/>
          <w:szCs w:val="24"/>
        </w:rPr>
        <w:t xml:space="preserve">straipsnyje įtvirtintas įstatyminių įpėdinių eiliškumas. Panašus įstatyminių įpėdinių eiliškumas </w:t>
      </w:r>
      <w:r>
        <w:rPr>
          <w:rFonts w:eastAsia="TimesNewRomanPSMT"/>
          <w:szCs w:val="24"/>
        </w:rPr>
        <w:t xml:space="preserve">ir pergyvenusio sutuoktinio </w:t>
      </w:r>
      <w:r w:rsidRPr="00E50D44">
        <w:rPr>
          <w:rFonts w:eastAsia="TimesNewRomanPSMT"/>
          <w:szCs w:val="24"/>
        </w:rPr>
        <w:t>paveldėjimo numatytas ir kitų valstybių nacionalinėje teisėje.</w:t>
      </w:r>
    </w:p>
    <w:p w:rsidR="00212A24" w:rsidRPr="00E50D44" w:rsidRDefault="00212A24" w:rsidP="00212A24">
      <w:pPr>
        <w:autoSpaceDE w:val="0"/>
        <w:autoSpaceDN w:val="0"/>
        <w:adjustRightInd w:val="0"/>
        <w:rPr>
          <w:rFonts w:eastAsia="TimesNewRomanPSMT"/>
          <w:szCs w:val="24"/>
        </w:rPr>
      </w:pPr>
      <w:r>
        <w:rPr>
          <w:rFonts w:eastAsia="TimesNewRomanPSMT"/>
          <w:szCs w:val="24"/>
        </w:rPr>
        <w:t>A</w:t>
      </w:r>
      <w:r w:rsidRPr="00E50D44">
        <w:rPr>
          <w:rFonts w:eastAsia="TimesNewRomanPSMT"/>
          <w:szCs w:val="24"/>
        </w:rPr>
        <w:t>tkreiptinas dėmesys į</w:t>
      </w:r>
      <w:r>
        <w:rPr>
          <w:rFonts w:eastAsia="TimesNewRomanPSMT"/>
          <w:szCs w:val="24"/>
        </w:rPr>
        <w:t xml:space="preserve"> Civilinio kodekso</w:t>
      </w:r>
      <w:r w:rsidRPr="00E50D44">
        <w:rPr>
          <w:rFonts w:eastAsia="TimesNewRomanPSMT"/>
          <w:szCs w:val="24"/>
        </w:rPr>
        <w:t xml:space="preserve"> 5.19 straipsnio 1 dalyje įtvirtintą kiekvieno fizinio asmens teisę testamentų palikti visą turtą arba jo dalį vienam ar keliems asmenims, kurie yra arba nėra įpėdiniai pagal įstatymą, taip pat valstybei, savivaldybėms, juridiniams asmenims. Vadovaujantis to paties str</w:t>
      </w:r>
      <w:r>
        <w:rPr>
          <w:rFonts w:eastAsia="TimesNewRomanPSMT"/>
          <w:szCs w:val="24"/>
        </w:rPr>
        <w:t>aipsnio</w:t>
      </w:r>
      <w:r w:rsidRPr="00E50D44">
        <w:rPr>
          <w:rFonts w:eastAsia="TimesNewRomanPSMT"/>
          <w:szCs w:val="24"/>
        </w:rPr>
        <w:t xml:space="preserve"> 3 dalies nuostatomis, testatorius gali testamentu atimti paveldėjimo teisę iš v</w:t>
      </w:r>
      <w:r>
        <w:rPr>
          <w:rFonts w:eastAsia="TimesNewRomanPSMT"/>
          <w:szCs w:val="24"/>
        </w:rPr>
        <w:t>ieno, kelių ar visų įpėdinių. Civilinio kodekso</w:t>
      </w:r>
      <w:r w:rsidRPr="00E50D44">
        <w:rPr>
          <w:rFonts w:eastAsia="TimesNewRomanPSMT"/>
          <w:szCs w:val="24"/>
        </w:rPr>
        <w:t xml:space="preserve"> 5.43-5.49 straipsnių nuostatos taip pat numato bendrojo sutuoktinių testamento, kuriuo abu sutuoktiniai vienas kitą paskiria savo įpėdiniu ir nurodo, kad po vieno sutuoktinio mirties visą mirusiojo turtą (iš jo ir bendrosios sutuoktinių nuosavybės dalį) paveldi pergyvenęs sutuoktinis, sudarymo galimybę.</w:t>
      </w:r>
    </w:p>
    <w:p w:rsidR="00212A24" w:rsidRDefault="00212A24" w:rsidP="00212A24">
      <w:pPr>
        <w:autoSpaceDE w:val="0"/>
        <w:autoSpaceDN w:val="0"/>
        <w:adjustRightInd w:val="0"/>
        <w:rPr>
          <w:rFonts w:eastAsia="TimesNewRomanPSMT"/>
          <w:szCs w:val="24"/>
        </w:rPr>
      </w:pPr>
      <w:r w:rsidRPr="00E50D44">
        <w:rPr>
          <w:rFonts w:eastAsia="TimesNewRomanPSMT"/>
          <w:szCs w:val="24"/>
        </w:rPr>
        <w:t>Kartu pastebėtina, kad patenkinus peticijoje pateiktą siūlymą ir numačius, kad mirus vienam iš sutuoktinių, visą sutuoktinio turtą paveldėtų tik pergyvenęs sutuoktinis, gali būti pažeistas vienas iš pagrindinių paveldėjimo teisės nuostatomis siekiamų tikslų – užtikrinti mirusio asmens vaikų ir artimiausių šeimos narių teises ir teisėtus interesus bei pa</w:t>
      </w:r>
      <w:r>
        <w:rPr>
          <w:rFonts w:eastAsia="TimesNewRomanPSMT"/>
          <w:szCs w:val="24"/>
        </w:rPr>
        <w:t>veldimo turto išlaikymą šeimoje.</w:t>
      </w:r>
      <w:r w:rsidRPr="00E50D44">
        <w:rPr>
          <w:rFonts w:eastAsia="TimesNewRomanPSMT"/>
          <w:szCs w:val="24"/>
        </w:rPr>
        <w:t xml:space="preserve"> </w:t>
      </w:r>
      <w:r>
        <w:rPr>
          <w:rFonts w:eastAsia="TimesNewRomanPSMT"/>
          <w:szCs w:val="24"/>
        </w:rPr>
        <w:t>P</w:t>
      </w:r>
      <w:r w:rsidRPr="00E50D44">
        <w:rPr>
          <w:rFonts w:eastAsia="TimesNewRomanPSMT"/>
          <w:szCs w:val="24"/>
        </w:rPr>
        <w:t>avyzdžiui, tai galėtų nutikti tokiais atvejais, kai mirusį sutuoktinį pergyvenęs sutuoktinis sudarytų naują santuoką ir neilgai trukus pirmas mirtų, o visas jam iš pirmos santuokos priklausęs turtas paveldėjimo teise pereitų naujajam sutuoktiniui, o po jo mirties – pastarojo šeimos nariams.</w:t>
      </w:r>
    </w:p>
    <w:p w:rsidR="00661367" w:rsidRPr="001E377B" w:rsidRDefault="00FF0B87" w:rsidP="00661367">
      <w:pPr>
        <w:autoSpaceDE w:val="0"/>
        <w:autoSpaceDN w:val="0"/>
        <w:adjustRightInd w:val="0"/>
        <w:rPr>
          <w:rFonts w:eastAsia="Calibri-Bold"/>
          <w:bCs/>
          <w:szCs w:val="24"/>
        </w:rPr>
      </w:pPr>
      <w:r>
        <w:lastRenderedPageBreak/>
        <w:t>Antruoju klausimu buvo priimtas sprendimas</w:t>
      </w:r>
      <w:r w:rsidR="00661367" w:rsidRPr="00661367">
        <w:rPr>
          <w:szCs w:val="24"/>
        </w:rPr>
        <w:t xml:space="preserve"> </w:t>
      </w:r>
      <w:r w:rsidR="00661367">
        <w:rPr>
          <w:szCs w:val="24"/>
        </w:rPr>
        <w:t xml:space="preserve">tenkinti </w:t>
      </w:r>
      <w:r w:rsidR="00661367">
        <w:rPr>
          <w:szCs w:val="24"/>
        </w:rPr>
        <w:t>Ričardo Rimkaus</w:t>
      </w:r>
      <w:r w:rsidR="00661367">
        <w:rPr>
          <w:szCs w:val="24"/>
        </w:rPr>
        <w:t xml:space="preserve"> peticijoje</w:t>
      </w:r>
      <w:r w:rsidR="00661367" w:rsidRPr="002606C6">
        <w:rPr>
          <w:szCs w:val="24"/>
        </w:rPr>
        <w:t xml:space="preserve"> </w:t>
      </w:r>
      <w:r w:rsidR="00661367">
        <w:rPr>
          <w:szCs w:val="24"/>
        </w:rPr>
        <w:t>„</w:t>
      </w:r>
      <w:r w:rsidR="00661367" w:rsidRPr="00E968A9">
        <w:rPr>
          <w:szCs w:val="24"/>
        </w:rPr>
        <w:t>Dėl Lietuvos Respublikos valstybės tarnybos įstatymo 7 straipsnio pakeitimo“</w:t>
      </w:r>
      <w:r w:rsidR="00661367">
        <w:rPr>
          <w:szCs w:val="24"/>
        </w:rPr>
        <w:t xml:space="preserve"> pateiktą pasiūlymą</w:t>
      </w:r>
      <w:r w:rsidR="00661367" w:rsidRPr="00A46E4C">
        <w:rPr>
          <w:szCs w:val="24"/>
        </w:rPr>
        <w:t xml:space="preserve"> </w:t>
      </w:r>
      <w:r w:rsidR="00661367" w:rsidRPr="001E377B">
        <w:rPr>
          <w:rFonts w:eastAsia="Calibri-Bold"/>
          <w:bCs/>
          <w:szCs w:val="24"/>
        </w:rPr>
        <w:t xml:space="preserve">panaikinti kolegijų absolventus diskriminuojančią įstatymo normą ir </w:t>
      </w:r>
      <w:r w:rsidR="00661367">
        <w:rPr>
          <w:rFonts w:eastAsia="Calibri-Bold"/>
          <w:bCs/>
          <w:szCs w:val="24"/>
        </w:rPr>
        <w:t>šio įstatymo 7 straipsnio 1 dalį</w:t>
      </w:r>
      <w:r w:rsidR="00661367" w:rsidRPr="001E377B">
        <w:rPr>
          <w:rFonts w:eastAsia="Calibri-Bold"/>
          <w:bCs/>
          <w:szCs w:val="24"/>
        </w:rPr>
        <w:t xml:space="preserve"> išdėstyti taip:</w:t>
      </w:r>
    </w:p>
    <w:p w:rsidR="00661367" w:rsidRPr="001E377B" w:rsidRDefault="00661367" w:rsidP="00661367">
      <w:pPr>
        <w:autoSpaceDE w:val="0"/>
        <w:autoSpaceDN w:val="0"/>
        <w:adjustRightInd w:val="0"/>
        <w:rPr>
          <w:rFonts w:eastAsia="Calibri-Bold"/>
          <w:iCs/>
          <w:szCs w:val="24"/>
        </w:rPr>
      </w:pPr>
      <w:r w:rsidRPr="001E377B">
        <w:rPr>
          <w:rFonts w:eastAsia="Calibri-Bold"/>
          <w:iCs/>
          <w:szCs w:val="24"/>
        </w:rPr>
        <w:t>„</w:t>
      </w:r>
      <w:r>
        <w:rPr>
          <w:rFonts w:eastAsia="Calibri-Bold"/>
          <w:iCs/>
          <w:szCs w:val="24"/>
        </w:rPr>
        <w:t xml:space="preserve">1. </w:t>
      </w:r>
      <w:r w:rsidRPr="001E377B">
        <w:rPr>
          <w:rFonts w:eastAsia="Calibri-Bold"/>
          <w:iCs/>
          <w:szCs w:val="24"/>
        </w:rPr>
        <w:t>Valstybės tarnautojų pareigybės yra trijų lygių:</w:t>
      </w:r>
    </w:p>
    <w:p w:rsidR="00661367" w:rsidRPr="001E377B" w:rsidRDefault="00661367" w:rsidP="00661367">
      <w:pPr>
        <w:autoSpaceDE w:val="0"/>
        <w:autoSpaceDN w:val="0"/>
        <w:adjustRightInd w:val="0"/>
        <w:rPr>
          <w:rFonts w:eastAsia="Calibri-Bold"/>
          <w:iCs/>
          <w:szCs w:val="24"/>
        </w:rPr>
      </w:pPr>
      <w:r w:rsidRPr="001E377B">
        <w:rPr>
          <w:rFonts w:eastAsia="Calibri-Bold"/>
          <w:iCs/>
          <w:szCs w:val="24"/>
        </w:rPr>
        <w:t>1) A lygio – pareigybės, kurioms būtinas aukštasis arba jam prilygintas išsilavinimas;</w:t>
      </w:r>
    </w:p>
    <w:p w:rsidR="00661367" w:rsidRPr="001E377B" w:rsidRDefault="00661367" w:rsidP="00661367">
      <w:pPr>
        <w:autoSpaceDE w:val="0"/>
        <w:autoSpaceDN w:val="0"/>
        <w:adjustRightInd w:val="0"/>
        <w:rPr>
          <w:rFonts w:eastAsia="Calibri-Bold"/>
          <w:iCs/>
          <w:szCs w:val="24"/>
        </w:rPr>
      </w:pPr>
      <w:r w:rsidRPr="001E377B">
        <w:rPr>
          <w:rFonts w:eastAsia="Calibri-Bold"/>
          <w:iCs/>
          <w:szCs w:val="24"/>
        </w:rPr>
        <w:t xml:space="preserve">2) B lygio </w:t>
      </w:r>
      <w:r w:rsidRPr="001E377B">
        <w:rPr>
          <w:rFonts w:eastAsia="Calibri-Bold"/>
          <w:szCs w:val="24"/>
        </w:rPr>
        <w:t xml:space="preserve">– </w:t>
      </w:r>
      <w:r w:rsidRPr="001E377B">
        <w:rPr>
          <w:rFonts w:eastAsia="Calibri-Bold"/>
          <w:iCs/>
          <w:szCs w:val="24"/>
        </w:rPr>
        <w:t>pareigybės, kurioms būtinas aukštesnysis išsilavinimas arba iki 1995 metų įgytas specialusis vidurinis išsilavinimas;</w:t>
      </w:r>
    </w:p>
    <w:p w:rsidR="00661367" w:rsidRPr="001E377B" w:rsidRDefault="00661367" w:rsidP="00661367">
      <w:pPr>
        <w:autoSpaceDE w:val="0"/>
        <w:autoSpaceDN w:val="0"/>
        <w:adjustRightInd w:val="0"/>
        <w:rPr>
          <w:rFonts w:eastAsia="Calibri-Bold"/>
          <w:iCs/>
          <w:szCs w:val="24"/>
        </w:rPr>
      </w:pPr>
      <w:r w:rsidRPr="001E377B">
        <w:rPr>
          <w:rFonts w:eastAsia="Calibri-Bold"/>
          <w:iCs/>
          <w:szCs w:val="24"/>
        </w:rPr>
        <w:t xml:space="preserve">3) C lygio </w:t>
      </w:r>
      <w:r w:rsidRPr="001E377B">
        <w:rPr>
          <w:rFonts w:eastAsia="Calibri-Bold"/>
          <w:szCs w:val="24"/>
        </w:rPr>
        <w:t xml:space="preserve">– </w:t>
      </w:r>
      <w:r w:rsidRPr="001E377B">
        <w:rPr>
          <w:rFonts w:eastAsia="Calibri-Bold"/>
          <w:iCs/>
          <w:szCs w:val="24"/>
        </w:rPr>
        <w:t>pareigybės, kurioms būtinas ne žemesnis kaip vidurinis išsilavinimas ir įgyta profesinė kvalifikacija.</w:t>
      </w:r>
      <w:r>
        <w:rPr>
          <w:rFonts w:eastAsia="Calibri-Bold"/>
          <w:iCs/>
          <w:szCs w:val="24"/>
        </w:rPr>
        <w:t>“</w:t>
      </w:r>
    </w:p>
    <w:p w:rsidR="00661367" w:rsidRDefault="00661367" w:rsidP="00661367">
      <w:pPr>
        <w:autoSpaceDE w:val="0"/>
        <w:autoSpaceDN w:val="0"/>
        <w:adjustRightInd w:val="0"/>
        <w:rPr>
          <w:rFonts w:eastAsia="TimesNewRomanPSMT"/>
          <w:szCs w:val="24"/>
        </w:rPr>
      </w:pPr>
      <w:r w:rsidRPr="002606C6">
        <w:rPr>
          <w:color w:val="000000"/>
          <w:szCs w:val="24"/>
        </w:rPr>
        <w:t xml:space="preserve">Komisija šį sprendimą priėmė, atsižvelgusi į Lietuvos Respublikos </w:t>
      </w:r>
      <w:r>
        <w:rPr>
          <w:color w:val="000000"/>
          <w:szCs w:val="24"/>
        </w:rPr>
        <w:t>švietimo ir mokslo</w:t>
      </w:r>
      <w:r w:rsidRPr="002606C6">
        <w:rPr>
          <w:color w:val="000000"/>
          <w:szCs w:val="24"/>
        </w:rPr>
        <w:t xml:space="preserve"> ministerijos</w:t>
      </w:r>
      <w:r>
        <w:rPr>
          <w:color w:val="000000"/>
          <w:szCs w:val="24"/>
        </w:rPr>
        <w:t xml:space="preserve"> ir </w:t>
      </w:r>
      <w:r w:rsidRPr="002606C6">
        <w:rPr>
          <w:color w:val="000000"/>
          <w:szCs w:val="24"/>
        </w:rPr>
        <w:t>Lietuvos Respublikos</w:t>
      </w:r>
      <w:r>
        <w:rPr>
          <w:color w:val="000000"/>
          <w:szCs w:val="24"/>
        </w:rPr>
        <w:t xml:space="preserve"> vidaus reikalų ministerijos pateiktas nuomones</w:t>
      </w:r>
      <w:r w:rsidRPr="002606C6">
        <w:rPr>
          <w:color w:val="000000"/>
          <w:szCs w:val="24"/>
        </w:rPr>
        <w:t xml:space="preserve"> ir </w:t>
      </w:r>
      <w:r>
        <w:rPr>
          <w:color w:val="000000"/>
          <w:szCs w:val="24"/>
        </w:rPr>
        <w:t>manydama, kad</w:t>
      </w:r>
      <w:r w:rsidRPr="000C57E6">
        <w:rPr>
          <w:rFonts w:eastAsia="TimesNewRomanPSMT"/>
          <w:szCs w:val="24"/>
        </w:rPr>
        <w:t xml:space="preserve"> studijos </w:t>
      </w:r>
      <w:r>
        <w:rPr>
          <w:rFonts w:eastAsia="TimesNewRomanPSMT"/>
          <w:szCs w:val="24"/>
        </w:rPr>
        <w:t xml:space="preserve">kolegijose </w:t>
      </w:r>
      <w:r w:rsidRPr="000C57E6">
        <w:rPr>
          <w:rFonts w:eastAsia="TimesNewRomanPSMT"/>
          <w:szCs w:val="24"/>
        </w:rPr>
        <w:t>atitinka aukštosioms mokykloms keliamus reikalavimus.</w:t>
      </w:r>
    </w:p>
    <w:p w:rsidR="00661367" w:rsidRPr="000C57E6" w:rsidRDefault="00661367" w:rsidP="00661367">
      <w:pPr>
        <w:autoSpaceDE w:val="0"/>
        <w:autoSpaceDN w:val="0"/>
        <w:adjustRightInd w:val="0"/>
        <w:rPr>
          <w:rFonts w:eastAsia="TimesNewRomanPSMT"/>
          <w:szCs w:val="24"/>
        </w:rPr>
      </w:pPr>
      <w:r w:rsidRPr="000C57E6">
        <w:rPr>
          <w:rFonts w:eastAsia="TimesNewRomanPSMT"/>
          <w:szCs w:val="24"/>
        </w:rPr>
        <w:t>Valstybės tarnautojų pareigybių lygius ir priėmimo į valstybės tarnautojų pareigas reikalavimus nustato Lietuvos Respublikos valstybės tarnybos įstatymas. Dauguma A lygio valstybės tarnautojų pareigybei keliamų reikalavimų buvo suformuluoti tuomet, kai Lietuvoje veikė unitarinė aukštojo mokslo sistema (tik universitetinio tipo aukštosios mokyklos). Kolegijos Lietuv</w:t>
      </w:r>
      <w:r>
        <w:rPr>
          <w:rFonts w:eastAsia="TimesNewRomanPSMT"/>
          <w:szCs w:val="24"/>
        </w:rPr>
        <w:t xml:space="preserve">oje pradėtos steigti 2000 </w:t>
      </w:r>
      <w:r w:rsidRPr="000C57E6">
        <w:rPr>
          <w:rFonts w:eastAsia="TimesNewRomanPSMT"/>
          <w:szCs w:val="24"/>
        </w:rPr>
        <w:t>m</w:t>
      </w:r>
      <w:r>
        <w:rPr>
          <w:rFonts w:eastAsia="TimesNewRomanPSMT"/>
          <w:szCs w:val="24"/>
        </w:rPr>
        <w:t>etais</w:t>
      </w:r>
      <w:r w:rsidRPr="000C57E6">
        <w:rPr>
          <w:rFonts w:eastAsia="TimesNewRomanPSMT"/>
          <w:szCs w:val="24"/>
        </w:rPr>
        <w:t xml:space="preserve">, priėmus naują Aukštojo mokslo įstatymą. Kolegijomis galėjo tapti tik tos mokymo institucijos, kurios atitiko nustatytus reikalavimus, sukūrė kokybės užtikrinimo sistemas, aktyviai bendradarbiavo su socialiniais partneriais. Buvo parengtos naujos studijų programos, modernizuota studijų infrastruktūra. Vertinant pasirengimą tapti kolegijomis dalyvavo </w:t>
      </w:r>
      <w:r>
        <w:rPr>
          <w:rFonts w:eastAsia="TimesNewRomanPSMT"/>
          <w:szCs w:val="24"/>
        </w:rPr>
        <w:t xml:space="preserve">ir </w:t>
      </w:r>
      <w:r w:rsidRPr="000C57E6">
        <w:rPr>
          <w:rFonts w:eastAsia="TimesNewRomanPSMT"/>
          <w:szCs w:val="24"/>
        </w:rPr>
        <w:t>užsienio ekspertai. Praėjus ketveriems metams po kolegijų įsteigimo jos buvo iš naujo vertinamos ir privalėjo įrodyti, kad studijos jose atitinka aukštosioms mokykloms keliamus reikalavimus. Kolegijų veiklos bei jų vykdomų studijų programų kokybė ir toliau bus periodiškai vertinama dalyvaujant užsienio ekspertams.</w:t>
      </w:r>
    </w:p>
    <w:p w:rsidR="00661367" w:rsidRPr="000C57E6" w:rsidRDefault="00661367" w:rsidP="00661367">
      <w:pPr>
        <w:autoSpaceDE w:val="0"/>
        <w:autoSpaceDN w:val="0"/>
        <w:adjustRightInd w:val="0"/>
        <w:rPr>
          <w:rFonts w:eastAsia="TimesNewRomanPSMT"/>
          <w:szCs w:val="24"/>
        </w:rPr>
      </w:pPr>
      <w:r w:rsidRPr="000C57E6">
        <w:rPr>
          <w:rFonts w:eastAsia="TimesNewRomanPSMT"/>
          <w:szCs w:val="24"/>
        </w:rPr>
        <w:t>Lietuvos Respublikos mokslo ir studij</w:t>
      </w:r>
      <w:r>
        <w:rPr>
          <w:rFonts w:eastAsia="TimesNewRomanPSMT"/>
          <w:szCs w:val="24"/>
        </w:rPr>
        <w:t>ų įstatymo 47 straipsnio 4 dalyje yra nustatytos ir vienodo</w:t>
      </w:r>
      <w:r w:rsidRPr="000C57E6">
        <w:rPr>
          <w:rFonts w:eastAsia="TimesNewRomanPSMT"/>
          <w:szCs w:val="24"/>
        </w:rPr>
        <w:t>s abiejų tipų (koleginių ir univer</w:t>
      </w:r>
      <w:r>
        <w:rPr>
          <w:rFonts w:eastAsia="TimesNewRomanPSMT"/>
          <w:szCs w:val="24"/>
        </w:rPr>
        <w:t>sitetinių) studijų apimties ribo</w:t>
      </w:r>
      <w:r w:rsidRPr="000C57E6">
        <w:rPr>
          <w:rFonts w:eastAsia="TimesNewRomanPSMT"/>
          <w:szCs w:val="24"/>
        </w:rPr>
        <w:t xml:space="preserve">s </w:t>
      </w:r>
      <w:r>
        <w:rPr>
          <w:rFonts w:eastAsia="TimesNewRomanPSMT"/>
          <w:szCs w:val="24"/>
        </w:rPr>
        <w:t>–</w:t>
      </w:r>
      <w:r w:rsidRPr="000C57E6">
        <w:rPr>
          <w:rFonts w:eastAsia="TimesNewRomanPSMT"/>
          <w:szCs w:val="24"/>
        </w:rPr>
        <w:t xml:space="preserve"> nuo 180 iki 240 kreditų. Skiriasi ne šių studijų apimties ir lygio reikalavimai, bet jų pobūdis. Koleginės studijos yra labiau orientuotos į praktinį pasirengimą, o universitetinės – į gilesnes teorines žinias.</w:t>
      </w:r>
    </w:p>
    <w:p w:rsidR="00661367" w:rsidRDefault="00661367" w:rsidP="00661367">
      <w:pPr>
        <w:autoSpaceDE w:val="0"/>
        <w:autoSpaceDN w:val="0"/>
        <w:adjustRightInd w:val="0"/>
        <w:rPr>
          <w:rFonts w:eastAsia="TimesNewRomanPSMT"/>
          <w:szCs w:val="24"/>
        </w:rPr>
      </w:pPr>
      <w:r>
        <w:rPr>
          <w:rFonts w:eastAsia="TimesNewRomanPSMT"/>
          <w:szCs w:val="24"/>
        </w:rPr>
        <w:t>Pažymėtina, kad k</w:t>
      </w:r>
      <w:r w:rsidRPr="000C57E6">
        <w:rPr>
          <w:rFonts w:eastAsia="TimesNewRomanPSMT"/>
          <w:szCs w:val="24"/>
        </w:rPr>
        <w:t>olegijų teikiamas išsilavinimas atitinka Europos aukštojo mokslo erdvės kūrimo nuostatas ir reikalavimus, išdėstytus Bol</w:t>
      </w:r>
      <w:r>
        <w:rPr>
          <w:rFonts w:eastAsia="TimesNewRomanPSMT"/>
          <w:szCs w:val="24"/>
        </w:rPr>
        <w:t xml:space="preserve">onijos proceso dokumentuose, o </w:t>
      </w:r>
      <w:r w:rsidRPr="000C57E6">
        <w:rPr>
          <w:rFonts w:eastAsia="TimesNewRomanPSMT"/>
          <w:szCs w:val="24"/>
        </w:rPr>
        <w:t>Lietuvos Respubli</w:t>
      </w:r>
      <w:r>
        <w:rPr>
          <w:rFonts w:eastAsia="TimesNewRomanPSMT"/>
          <w:szCs w:val="24"/>
        </w:rPr>
        <w:t>kos mokslo ir studijų įstatymas</w:t>
      </w:r>
      <w:r w:rsidRPr="000C57E6">
        <w:rPr>
          <w:rFonts w:eastAsia="TimesNewRomanPSMT"/>
          <w:szCs w:val="24"/>
        </w:rPr>
        <w:t xml:space="preserve"> bakalauro (teikia universitetai) ir profesinio bakalauro (teikia kolegijos) studijas priskiria tai pačiai – pirmajai – studijų pakopai.</w:t>
      </w:r>
    </w:p>
    <w:p w:rsidR="00FF0B87" w:rsidRDefault="00FF0B87" w:rsidP="00FF0B87">
      <w:pPr>
        <w:autoSpaceDE w:val="0"/>
        <w:autoSpaceDN w:val="0"/>
        <w:adjustRightInd w:val="0"/>
      </w:pPr>
      <w:r>
        <w:t xml:space="preserve">Trečiuoju klausimu, vadovaujantis Lietuvos Respublikos peticijų įstatymo 4 straipsnio 1 dalimi, buvo priimtas sprendimas </w:t>
      </w:r>
      <w:r>
        <w:rPr>
          <w:szCs w:val="24"/>
        </w:rPr>
        <w:t xml:space="preserve">Rimos </w:t>
      </w:r>
      <w:proofErr w:type="spellStart"/>
      <w:r>
        <w:rPr>
          <w:szCs w:val="24"/>
        </w:rPr>
        <w:t>Krikvienės</w:t>
      </w:r>
      <w:proofErr w:type="spellEnd"/>
      <w:r w:rsidR="00661367">
        <w:t xml:space="preserve"> </w:t>
      </w:r>
      <w:bookmarkStart w:id="0" w:name="_GoBack"/>
      <w:bookmarkEnd w:id="0"/>
      <w:r>
        <w:t xml:space="preserve">ir kitų pareiškėjų kreipimosi „Dėl Lietuvos </w:t>
      </w:r>
      <w:r>
        <w:lastRenderedPageBreak/>
        <w:t>Respublikos bausmių vykdymo kodekso pakeitimo įstatymo Nr. XII-1818 pakeitimo“ nenagrinėti Peticijų įstatyme nustatytais pagrindais – kreipimasis neatitinka Peticijų įstatyme nustatytų formos ir turinio reikalavimų.</w:t>
      </w:r>
    </w:p>
    <w:p w:rsidR="00FF0B87" w:rsidRPr="00170D95" w:rsidRDefault="00FF0B87" w:rsidP="00FF0B87">
      <w:pPr>
        <w:rPr>
          <w:szCs w:val="24"/>
        </w:rPr>
      </w:pPr>
      <w:r>
        <w:rPr>
          <w:szCs w:val="24"/>
        </w:rPr>
        <w:t xml:space="preserve">Kreipimųsi (peticijų) pateikimo ir nagrinėjimo tvarką nustato specialus Lietuvos Respublikos peticijų įstatymas, </w:t>
      </w:r>
      <w:r w:rsidRPr="00170D95">
        <w:rPr>
          <w:szCs w:val="24"/>
        </w:rPr>
        <w:t>kuriame yra nustatyti visi svarbiausi peticijos teisės įgyvendinimo tvarkos elementai, būtent: dėl ko galima kreiptis su peticija; kurioms viešosios valdžios institucijoms gali būti paduodama peticija; formalūs reikalavimai, kuriuos turi atitikti peticija; peticijos padavimo tvarka ir kt.</w:t>
      </w:r>
    </w:p>
    <w:p w:rsidR="00FF0B87" w:rsidRPr="00FF0B87" w:rsidRDefault="00FF0B87" w:rsidP="00FF0B87">
      <w:pPr>
        <w:rPr>
          <w:rFonts w:cs="Times New Roman"/>
          <w:szCs w:val="24"/>
        </w:rPr>
      </w:pPr>
      <w:r w:rsidRPr="00FF0B87">
        <w:rPr>
          <w:rFonts w:cs="Times New Roman"/>
          <w:szCs w:val="24"/>
        </w:rPr>
        <w:t>Peticijų įstatymo 4 straipsnio 1 dalyje yra nustatyta, kad kreipimesi turi būti nurodyta: pareiškėjo vardas, pavardė, gyvenamoji vieta, asmens kodas; institucija, kuriai paduodamas kreipimasis; prašymas pripažinti kreipimąsi peticija,</w:t>
      </w:r>
      <w:r w:rsidRPr="00FF0B87">
        <w:rPr>
          <w:rFonts w:cs="Times New Roman"/>
          <w:b/>
          <w:szCs w:val="24"/>
        </w:rPr>
        <w:t xml:space="preserve"> </w:t>
      </w:r>
      <w:r w:rsidRPr="00FF0B87">
        <w:rPr>
          <w:rFonts w:cs="Times New Roman"/>
          <w:szCs w:val="24"/>
        </w:rPr>
        <w:t xml:space="preserve">kreipimosi padavimo priežastys ir tikslai; pareiškėjo reikalavimai ir siūlymai. </w:t>
      </w:r>
      <w:r w:rsidRPr="00FF0B87">
        <w:rPr>
          <w:rStyle w:val="Typewriter"/>
          <w:rFonts w:ascii="Times New Roman" w:hAnsi="Times New Roman" w:cs="Times New Roman"/>
          <w:sz w:val="24"/>
          <w:szCs w:val="24"/>
        </w:rPr>
        <w:t>Kiekvienas kreipimasis turi būti pareiškėjo pasirašytas. Tais atvejais, kai pareiškėjas dėl fizinių trūkumų pats negali pasirašyti, kreipimąsi už pareiškėją pasirašo kitas asmuo, nurodydamas savo vardą, pavardę, gyvenamąją vietą, asmens kodą. Kreipimasis, pateiktas elektroniniu būdu, privalo būti pasirašytas elektroniniu parašu. Prie kreipimosi gali būti pridėti įvairūs dokumentai ar jų kopijos, siūlomo teisės akto projektas ir kita medžiaga.</w:t>
      </w:r>
    </w:p>
    <w:p w:rsidR="00FF0B87" w:rsidRPr="006C49D9" w:rsidRDefault="00FF0B87" w:rsidP="00FF0B87">
      <w:pPr>
        <w:rPr>
          <w:szCs w:val="24"/>
        </w:rPr>
      </w:pPr>
      <w:r w:rsidRPr="00FF0B87">
        <w:rPr>
          <w:rFonts w:cs="Times New Roman"/>
          <w:szCs w:val="24"/>
          <w:lang w:eastAsia="lt-LT"/>
        </w:rPr>
        <w:t xml:space="preserve">Taigi kreipimąsi reikia parašyti ir pateikti pagal Peticijų įstatyme nustatytus formos ir turinio reikalavimus: kreipimasis turi būti pareiškėjo arba jų atstovo pasirašytas. Kai kreipimąsi pasirašo pareiškėjų atstovas, turi būti nurodyta pareiškėjų </w:t>
      </w:r>
      <w:r w:rsidRPr="00FF0B87">
        <w:rPr>
          <w:rFonts w:cs="Times New Roman"/>
          <w:szCs w:val="24"/>
        </w:rPr>
        <w:t xml:space="preserve">atstovo vardas, pavardė, asmens kodas, gyvenamoji vieta ir, jeigu yra, telefono, telefakso numeriai. Kreipimesi taip pat turi būti aiškiai išdėstyti pareiškėjų pasiūlymai ar reikalavimai, tačiau </w:t>
      </w:r>
      <w:r>
        <w:rPr>
          <w:rFonts w:cs="Times New Roman"/>
          <w:szCs w:val="24"/>
        </w:rPr>
        <w:t>šiame</w:t>
      </w:r>
      <w:r w:rsidRPr="00FF0B87">
        <w:rPr>
          <w:rFonts w:cs="Times New Roman"/>
          <w:szCs w:val="24"/>
        </w:rPr>
        <w:t xml:space="preserve"> kreipimesi reikalauj</w:t>
      </w:r>
      <w:r w:rsidRPr="00397B68">
        <w:rPr>
          <w:szCs w:val="24"/>
        </w:rPr>
        <w:t xml:space="preserve">ama pakeisti Lietuvos Respublikos bausmių vykdymo kodekso pakeitimo įstatymo Nr. XII-1818 </w:t>
      </w:r>
      <w:r>
        <w:rPr>
          <w:szCs w:val="24"/>
        </w:rPr>
        <w:t xml:space="preserve">(toliau – Įstatymas) </w:t>
      </w:r>
      <w:r w:rsidRPr="00397B68">
        <w:rPr>
          <w:szCs w:val="24"/>
        </w:rPr>
        <w:t xml:space="preserve">34 straipsnį, </w:t>
      </w:r>
      <w:r>
        <w:rPr>
          <w:szCs w:val="24"/>
        </w:rPr>
        <w:t>kuriuo yra keičiamas Lietuvos Respublikos bausmių vykdymo kodekso (toliau – Kodeksas) 85 straipsnis, bet siūloma</w:t>
      </w:r>
      <w:r w:rsidRPr="006C49D9">
        <w:rPr>
          <w:szCs w:val="24"/>
        </w:rPr>
        <w:t xml:space="preserve"> pakeisti Kodekso 92 straipsnį, </w:t>
      </w:r>
      <w:r>
        <w:rPr>
          <w:szCs w:val="24"/>
        </w:rPr>
        <w:t>pareiškėjos</w:t>
      </w:r>
      <w:r w:rsidRPr="006C49D9">
        <w:rPr>
          <w:szCs w:val="24"/>
        </w:rPr>
        <w:t xml:space="preserve"> siūlo keisti Įstatymo 35 straipsnį, kuriuo keičiamas Kodekso 86 straipsnis, bet siūlo</w:t>
      </w:r>
      <w:r>
        <w:rPr>
          <w:szCs w:val="24"/>
        </w:rPr>
        <w:t>ma</w:t>
      </w:r>
      <w:r w:rsidRPr="006C49D9">
        <w:rPr>
          <w:szCs w:val="24"/>
        </w:rPr>
        <w:t xml:space="preserve"> keisti </w:t>
      </w:r>
      <w:r>
        <w:rPr>
          <w:szCs w:val="24"/>
        </w:rPr>
        <w:t>Kodekso 94 straipsnį,</w:t>
      </w:r>
      <w:r w:rsidRPr="006C49D9">
        <w:rPr>
          <w:szCs w:val="24"/>
        </w:rPr>
        <w:t xml:space="preserve"> </w:t>
      </w:r>
      <w:r>
        <w:rPr>
          <w:szCs w:val="24"/>
        </w:rPr>
        <w:t>pareiškėjos siūlo</w:t>
      </w:r>
      <w:r w:rsidRPr="006C49D9">
        <w:rPr>
          <w:szCs w:val="24"/>
        </w:rPr>
        <w:t xml:space="preserve"> keisti Įstatymo 39 straipsnį, kuriuo keičiamas Kodekso 91 straipsnis, bet</w:t>
      </w:r>
      <w:r>
        <w:rPr>
          <w:szCs w:val="24"/>
        </w:rPr>
        <w:t xml:space="preserve"> Jūs siūloma</w:t>
      </w:r>
      <w:r w:rsidRPr="006C49D9">
        <w:rPr>
          <w:szCs w:val="24"/>
        </w:rPr>
        <w:t xml:space="preserve"> pakeisti Kodekso 104 straipsnį.</w:t>
      </w:r>
    </w:p>
    <w:p w:rsidR="0065556D" w:rsidRDefault="00FF0B87" w:rsidP="0065556D">
      <w:pPr>
        <w:autoSpaceDE w:val="0"/>
        <w:autoSpaceDN w:val="0"/>
        <w:adjustRightInd w:val="0"/>
        <w:rPr>
          <w:szCs w:val="24"/>
        </w:rPr>
      </w:pPr>
      <w:r>
        <w:t>Ketvirtuoju</w:t>
      </w:r>
      <w:r w:rsidR="00212A24">
        <w:t xml:space="preserve"> klausimu</w:t>
      </w:r>
      <w:r w:rsidR="0065556D" w:rsidRPr="0065556D">
        <w:rPr>
          <w:szCs w:val="24"/>
        </w:rPr>
        <w:t xml:space="preserve"> </w:t>
      </w:r>
      <w:r w:rsidR="0065556D">
        <w:rPr>
          <w:szCs w:val="24"/>
        </w:rPr>
        <w:t>buvo priimtas sprendimas Igno Meškausko kreipimesi „</w:t>
      </w:r>
      <w:r w:rsidR="0065556D" w:rsidRPr="00DF2A12">
        <w:rPr>
          <w:szCs w:val="24"/>
        </w:rPr>
        <w:t>Dėl Lietuvos Respublikos vietos savivaldos įstatymo ir Valstybės tarnybos įstatymo papildymų“</w:t>
      </w:r>
      <w:r w:rsidR="0065556D">
        <w:rPr>
          <w:szCs w:val="24"/>
        </w:rPr>
        <w:t xml:space="preserve"> pateiktą pasiūlymą Lietuvos Respublikos v</w:t>
      </w:r>
      <w:r w:rsidR="0065556D">
        <w:rPr>
          <w:rFonts w:eastAsia="Batang"/>
          <w:szCs w:val="24"/>
        </w:rPr>
        <w:t>ietos savivaldos įstatymo 7 straipsnį papildyti žodžiais “dalyvauja populiarinant Lietuvos Šaulių sąjungos veiklą“ pripažinti peticija ir priimti ją nagrinėti.</w:t>
      </w:r>
    </w:p>
    <w:p w:rsidR="0065556D" w:rsidRPr="00584334" w:rsidRDefault="0065556D" w:rsidP="0065556D">
      <w:pPr>
        <w:autoSpaceDE w:val="0"/>
        <w:autoSpaceDN w:val="0"/>
        <w:adjustRightInd w:val="0"/>
        <w:rPr>
          <w:szCs w:val="24"/>
        </w:rPr>
      </w:pPr>
      <w:r>
        <w:rPr>
          <w:szCs w:val="24"/>
          <w:lang w:eastAsia="lt-LT"/>
        </w:rPr>
        <w:t>Taip pat Komisija, v</w:t>
      </w:r>
      <w:r w:rsidRPr="00A05C58">
        <w:rPr>
          <w:szCs w:val="24"/>
        </w:rPr>
        <w:t>a</w:t>
      </w:r>
      <w:r>
        <w:rPr>
          <w:szCs w:val="24"/>
        </w:rPr>
        <w:t>dovaudamasi Lietuvos Respublikos p</w:t>
      </w:r>
      <w:r w:rsidRPr="00A05C58">
        <w:rPr>
          <w:szCs w:val="24"/>
        </w:rPr>
        <w:t>eticijų</w:t>
      </w:r>
      <w:r>
        <w:rPr>
          <w:szCs w:val="24"/>
        </w:rPr>
        <w:t xml:space="preserve"> įstatymo 3 straipsnio 2 dalimi ir 9 straipsnio 3 dalies 1 punktu, priėmė sprendimą šioje peticijoje pateikto pasiūlymo </w:t>
      </w:r>
      <w:r w:rsidRPr="00584334">
        <w:rPr>
          <w:szCs w:val="24"/>
        </w:rPr>
        <w:t>papildyti Lietuvos Respublikos valstybės tarnybos įstatymo 11 straipsnio 2 dalį žodžiais „o taip pat Lietuvos šaulių sąjungos nariams“ nepripažinti peticija.</w:t>
      </w:r>
    </w:p>
    <w:p w:rsidR="0065556D" w:rsidRPr="00584334" w:rsidRDefault="0065556D" w:rsidP="0065556D">
      <w:pPr>
        <w:rPr>
          <w:szCs w:val="24"/>
        </w:rPr>
      </w:pPr>
      <w:r w:rsidRPr="00584334">
        <w:rPr>
          <w:szCs w:val="24"/>
        </w:rPr>
        <w:lastRenderedPageBreak/>
        <w:t xml:space="preserve">Peticijų įstatymo 3 straipsnio 2 dalyje yra nustatyta, kad kreipimesi negali būti keliami tokie reikalavimai ir siūlymai, kurių išsprendimas varžytų kitų žmonių teises ir laisves, </w:t>
      </w:r>
      <w:r>
        <w:rPr>
          <w:szCs w:val="24"/>
        </w:rPr>
        <w:t>o Pet</w:t>
      </w:r>
      <w:r w:rsidRPr="00584334">
        <w:rPr>
          <w:szCs w:val="24"/>
        </w:rPr>
        <w:t>ic</w:t>
      </w:r>
      <w:r>
        <w:rPr>
          <w:szCs w:val="24"/>
        </w:rPr>
        <w:t>i</w:t>
      </w:r>
      <w:r w:rsidRPr="00584334">
        <w:rPr>
          <w:szCs w:val="24"/>
        </w:rPr>
        <w:t xml:space="preserve">jų įstatymo 9 straipsnio 3 dalies 1 punkte – kad kreipimasis nepripažįstamas peticija, jei jis neatitinka </w:t>
      </w:r>
      <w:r>
        <w:rPr>
          <w:szCs w:val="24"/>
        </w:rPr>
        <w:t>Peticijų</w:t>
      </w:r>
      <w:r w:rsidRPr="00584334">
        <w:rPr>
          <w:szCs w:val="24"/>
        </w:rPr>
        <w:t xml:space="preserve"> įs</w:t>
      </w:r>
      <w:r>
        <w:rPr>
          <w:szCs w:val="24"/>
        </w:rPr>
        <w:t>tatymo 3 straipsnio reikalavimų.</w:t>
      </w:r>
      <w:r w:rsidRPr="00584334">
        <w:rPr>
          <w:szCs w:val="24"/>
        </w:rPr>
        <w:t xml:space="preserve"> </w:t>
      </w:r>
    </w:p>
    <w:p w:rsidR="0065556D" w:rsidRDefault="0065556D" w:rsidP="0065556D">
      <w:pPr>
        <w:autoSpaceDE w:val="0"/>
        <w:autoSpaceDN w:val="0"/>
        <w:adjustRightInd w:val="0"/>
        <w:rPr>
          <w:szCs w:val="24"/>
        </w:rPr>
      </w:pPr>
      <w:r w:rsidRPr="00584334">
        <w:rPr>
          <w:szCs w:val="24"/>
        </w:rPr>
        <w:t>Šiuo metu galiojanti Valstybės tarnybos įstatymo 11 straipsnio 2 dalies nuostata numato, kad, jeigu keli konkurse į karjeros valstybės tarnautojo pareigas dalyvavę pretendentai buvo įvertinti vienodai, pirmenybė būti priimtam į tas pareigas teikiama</w:t>
      </w:r>
      <w:r>
        <w:rPr>
          <w:szCs w:val="24"/>
        </w:rPr>
        <w:t xml:space="preserve"> pretendentui, atlikusiam nuolatinę privalomąją pradinę karo tarnybą arba baigusiam bazinius karinius mokymus ar atlikusiam alternatyviąją krašto apsaugos tarnybą. </w:t>
      </w:r>
      <w:r w:rsidRPr="00584334">
        <w:rPr>
          <w:szCs w:val="24"/>
        </w:rPr>
        <w:t xml:space="preserve">Nuo šios nuostatos įsigaliojimo 2011 m. rugsėjo 1 d. </w:t>
      </w:r>
      <w:r>
        <w:rPr>
          <w:szCs w:val="24"/>
        </w:rPr>
        <w:t xml:space="preserve">kilo diskusijos dėl jos galimai diskriminacinio pobūdžio. Pavyzdžiui, Lietuvos Neįgaliųjų draugija kreipėsi į Lygių galimybių kontrolieriaus tarnybą (toliau – Tarnyba) su skundu, kad ši nuostata galimai pažeidžia moterų ir negalią turinčių asmenų teises. Tarnyba kreipėsi į Krašto apsaugos ministeriją, Europos teisės departamentą prie Teisingumo ministerijos, Žmogaus teisių stebėjimo institutą, Vilniaus universiteto Teisės fakultetą ir Mykolo </w:t>
      </w:r>
      <w:proofErr w:type="spellStart"/>
      <w:r>
        <w:rPr>
          <w:szCs w:val="24"/>
        </w:rPr>
        <w:t>Romerio</w:t>
      </w:r>
      <w:proofErr w:type="spellEnd"/>
      <w:r>
        <w:rPr>
          <w:szCs w:val="24"/>
        </w:rPr>
        <w:t xml:space="preserve"> universiteto Konstitucinės teisės katedrą su prašymu pateikti ekspertinę nuomonę dėl tokio teisinio reguliavimo. Įvertinusi gautas ekspertines nuomones ir skundo aplinkybes, Tarnyba padarė išvadą, kad Valstybės tarnybos įstatymo 11 straipsnio 2 dalyje nustatytu teisiniu reguliavimu neįgaliųjų asmenų padėtis, atsižvelgiant į kitus asmenis, yra aiškiai sumenkinama nesant tam konstitucinio pagrindo. Jokio konstituciškai reikšmingo tikslo, taip pat ir tikslo skatinti atlikti pradinę karo tarnybą ar baigti bazinius karinius mokymus ¡statymų leidėjas negali siekti tokiomis priemonėmis, kurios diskriminuoja kitus asmenis, todėl toks reguliavimas vertintinas kaip diskriminacinis ir nederantis su Konstitucijos 29 straipsniu, taip pat su Konstitucijos 33 straipsnio 1 dalies nuostata, kad Lietuvos Respublikos piliečiai turi teisę lygiomis sąlygomis stoti į valstybės tarnybą. Tarnyba konstatavo, kad Valstybės tarnybos įstatymo 11 straipsnio 2 dalies nuostata „Jeigu keli konkurse </w:t>
      </w:r>
      <w:r>
        <w:rPr>
          <w:rFonts w:eastAsia="Gulim"/>
          <w:iCs/>
          <w:szCs w:val="24"/>
        </w:rPr>
        <w:t>į</w:t>
      </w:r>
      <w:r>
        <w:rPr>
          <w:rFonts w:eastAsia="Gulim"/>
          <w:i/>
          <w:iCs/>
          <w:szCs w:val="24"/>
        </w:rPr>
        <w:t xml:space="preserve"> </w:t>
      </w:r>
      <w:r>
        <w:rPr>
          <w:szCs w:val="24"/>
        </w:rPr>
        <w:t>karjeros valstybės tarnautojo pareigas dalyvavę pretendentai buvo įvertinti vienodai, pirmenybė būti priimtam į tas pareigas teikiama pretendentui, atlikusiam nuolatinę privalomąją pradinę karo tarnybą arba baigusiam bazinius karinius mokymus ar atlikusiam alternatyviąją krašto apsaugos tarnybą“ diskriminuoja neįgaliuosius asmenis (diskriminacija dėl negalios), moteris (diskriminacija dėl lyties) ir asmenis, negalinčius atlikti nuolatinę privalomąją pradinę karo tarnybą arba baigti bazinius karinius mokymus dėl savo amžiaus (diskriminacija dėl amžiaus).</w:t>
      </w:r>
    </w:p>
    <w:p w:rsidR="0065556D" w:rsidRDefault="0065556D" w:rsidP="0065556D">
      <w:pPr>
        <w:autoSpaceDE w:val="0"/>
        <w:autoSpaceDN w:val="0"/>
        <w:adjustRightInd w:val="0"/>
        <w:rPr>
          <w:szCs w:val="24"/>
        </w:rPr>
      </w:pPr>
      <w:r>
        <w:rPr>
          <w:szCs w:val="24"/>
          <w:lang w:eastAsia="lt-LT"/>
        </w:rPr>
        <w:t xml:space="preserve">Pažymėtina ir tai, kad šių metų birželio 12 d. Seime užregistruotame naujos redakcijos Valstybės tarnybos įstatymo projekte Nr. XIIP-3268 nuostatos, kad </w:t>
      </w:r>
      <w:r>
        <w:rPr>
          <w:szCs w:val="24"/>
        </w:rPr>
        <w:t xml:space="preserve">jeigu keli konkurse į karjeros valstybės tarnautojo pareigas dalyvavę pretendentai buvo įvertinti vienodai, pirmenybė būti priimtam į tas pareigas teikiama pretendentui, atlikusiam nuolatinę privalomąją pradinę karo </w:t>
      </w:r>
      <w:r>
        <w:rPr>
          <w:szCs w:val="24"/>
        </w:rPr>
        <w:lastRenderedPageBreak/>
        <w:t>tarnybą arba baigusiam bazinius karinius mokymus ar atlikusiam alternatyviąją krašto apsaugos tarnybą, nebėra.</w:t>
      </w:r>
    </w:p>
    <w:p w:rsidR="0065556D" w:rsidRPr="00CB733A" w:rsidRDefault="0065556D" w:rsidP="0065556D">
      <w:pPr>
        <w:autoSpaceDE w:val="0"/>
        <w:autoSpaceDN w:val="0"/>
        <w:adjustRightInd w:val="0"/>
        <w:rPr>
          <w:szCs w:val="24"/>
          <w:lang w:eastAsia="lt-LT"/>
        </w:rPr>
      </w:pPr>
    </w:p>
    <w:p w:rsidR="0065556D" w:rsidRPr="0025634D" w:rsidRDefault="0065556D" w:rsidP="0065556D">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212A24" w:rsidRPr="00217183" w:rsidRDefault="00212A24" w:rsidP="00217183"/>
    <w:sectPr w:rsidR="00212A24"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CEF" w:rsidRDefault="00721CEF" w:rsidP="00236D6B">
      <w:pPr>
        <w:spacing w:line="240" w:lineRule="auto"/>
      </w:pPr>
      <w:r>
        <w:separator/>
      </w:r>
    </w:p>
  </w:endnote>
  <w:endnote w:type="continuationSeparator" w:id="0">
    <w:p w:rsidR="00721CEF" w:rsidRDefault="00721CEF"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82" w:csb1="00000000"/>
  </w:font>
  <w:font w:name="SegoeUI">
    <w:altName w:val="MS Mincho"/>
    <w:panose1 w:val="00000000000000000000"/>
    <w:charset w:val="80"/>
    <w:family w:val="auto"/>
    <w:notTrueType/>
    <w:pitch w:val="default"/>
    <w:sig w:usb0="00000000" w:usb1="08070000" w:usb2="00000010" w:usb3="00000000" w:csb0="00020000" w:csb1="00000000"/>
  </w:font>
  <w:font w:name="Calibri-Bold">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CEF" w:rsidRDefault="00721CEF" w:rsidP="00236D6B">
      <w:pPr>
        <w:spacing w:line="240" w:lineRule="auto"/>
      </w:pPr>
      <w:r>
        <w:separator/>
      </w:r>
    </w:p>
  </w:footnote>
  <w:footnote w:type="continuationSeparator" w:id="0">
    <w:p w:rsidR="00721CEF" w:rsidRDefault="00721CEF"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661367">
          <w:rPr>
            <w:noProof/>
          </w:rPr>
          <w:t>6</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CEF"/>
    <w:rsid w:val="00050041"/>
    <w:rsid w:val="001A47A9"/>
    <w:rsid w:val="00212A24"/>
    <w:rsid w:val="00217183"/>
    <w:rsid w:val="00236D6B"/>
    <w:rsid w:val="004415F9"/>
    <w:rsid w:val="00464771"/>
    <w:rsid w:val="004A3875"/>
    <w:rsid w:val="004B6F32"/>
    <w:rsid w:val="005D61C5"/>
    <w:rsid w:val="0065556D"/>
    <w:rsid w:val="00661367"/>
    <w:rsid w:val="006C13A6"/>
    <w:rsid w:val="006E6AC9"/>
    <w:rsid w:val="00721CEF"/>
    <w:rsid w:val="00755752"/>
    <w:rsid w:val="00851E02"/>
    <w:rsid w:val="00887561"/>
    <w:rsid w:val="00891204"/>
    <w:rsid w:val="008B3C0F"/>
    <w:rsid w:val="00C26569"/>
    <w:rsid w:val="00C3420E"/>
    <w:rsid w:val="00CE336C"/>
    <w:rsid w:val="00D52531"/>
    <w:rsid w:val="00D84D11"/>
    <w:rsid w:val="00F46148"/>
    <w:rsid w:val="00FF0B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21CEF"/>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FF0B87"/>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21CEF"/>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FF0B87"/>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9829</Words>
  <Characters>5603</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9</cp:revision>
  <dcterms:created xsi:type="dcterms:W3CDTF">2015-09-16T04:37:00Z</dcterms:created>
  <dcterms:modified xsi:type="dcterms:W3CDTF">2015-09-17T04:49:00Z</dcterms:modified>
</cp:coreProperties>
</file>