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748" w:rsidRDefault="00E75748" w:rsidP="0025634D">
      <w:pPr>
        <w:jc w:val="center"/>
        <w:rPr>
          <w:rFonts w:cs="Times New Roman"/>
          <w:b/>
          <w:szCs w:val="24"/>
        </w:rPr>
      </w:pPr>
      <w:r w:rsidRPr="0025634D">
        <w:rPr>
          <w:rFonts w:cs="Times New Roman"/>
          <w:b/>
          <w:szCs w:val="24"/>
        </w:rPr>
        <w:t>Pranešimas apie Komisijos 2015 m. birželio 10 d. posėdyje nagrinėtus klausimus ir priimtus sprendimus</w:t>
      </w:r>
    </w:p>
    <w:p w:rsidR="002E468F" w:rsidRPr="0025634D" w:rsidRDefault="002E468F" w:rsidP="0025634D">
      <w:pPr>
        <w:jc w:val="center"/>
        <w:rPr>
          <w:rFonts w:cs="Times New Roman"/>
          <w:b/>
          <w:szCs w:val="24"/>
        </w:rPr>
      </w:pPr>
    </w:p>
    <w:p w:rsidR="00E75748" w:rsidRPr="0025634D" w:rsidRDefault="00E75748" w:rsidP="0025634D">
      <w:pPr>
        <w:rPr>
          <w:rFonts w:cs="Times New Roman"/>
          <w:szCs w:val="24"/>
        </w:rPr>
      </w:pPr>
      <w:r w:rsidRPr="0025634D">
        <w:rPr>
          <w:rFonts w:cs="Times New Roman"/>
          <w:szCs w:val="24"/>
        </w:rPr>
        <w:t>Komisijos 2015 m. birželio 10 d. posėdyje buvo nagrinėjami šie klausimai:</w:t>
      </w:r>
    </w:p>
    <w:p w:rsidR="002D59E3" w:rsidRPr="0025634D" w:rsidRDefault="00E75748" w:rsidP="00D800CA">
      <w:pPr>
        <w:spacing w:line="276" w:lineRule="auto"/>
        <w:rPr>
          <w:rFonts w:eastAsia="TimesNewRomanPSMT" w:cs="Times New Roman"/>
          <w:szCs w:val="24"/>
        </w:rPr>
      </w:pPr>
      <w:r w:rsidRPr="0025634D">
        <w:rPr>
          <w:rFonts w:cs="Times New Roman"/>
          <w:szCs w:val="24"/>
        </w:rPr>
        <w:t xml:space="preserve">1. </w:t>
      </w:r>
      <w:r w:rsidR="002D59E3" w:rsidRPr="0025634D">
        <w:rPr>
          <w:rFonts w:eastAsia="TimesNewRomanPSMT" w:cs="Times New Roman"/>
          <w:szCs w:val="24"/>
        </w:rPr>
        <w:t xml:space="preserve">Aušrio Gedvilo ir Rimanto Astrausko peticijos </w:t>
      </w:r>
      <w:r w:rsidR="002D59E3" w:rsidRPr="0025634D">
        <w:rPr>
          <w:rFonts w:cs="Times New Roman"/>
          <w:szCs w:val="24"/>
        </w:rPr>
        <w:t xml:space="preserve">„Dėl Lietuvos Respublikos energetikos įstatymo 15 straipsnio 4 dalies pakeitimo“ </w:t>
      </w:r>
      <w:r w:rsidR="002D59E3" w:rsidRPr="0025634D">
        <w:rPr>
          <w:rFonts w:eastAsia="TimesNewRomanPSMT" w:cs="Times New Roman"/>
          <w:szCs w:val="24"/>
        </w:rPr>
        <w:t>nagrinėjimas iš esmės.</w:t>
      </w:r>
    </w:p>
    <w:p w:rsidR="00E75748" w:rsidRPr="0025634D" w:rsidRDefault="00E75748" w:rsidP="00D800CA">
      <w:pPr>
        <w:spacing w:line="276" w:lineRule="auto"/>
        <w:rPr>
          <w:rFonts w:cs="Times New Roman"/>
          <w:szCs w:val="24"/>
        </w:rPr>
      </w:pPr>
      <w:r w:rsidRPr="0025634D">
        <w:rPr>
          <w:rFonts w:cs="Times New Roman"/>
          <w:szCs w:val="24"/>
        </w:rPr>
        <w:t xml:space="preserve">2. </w:t>
      </w:r>
      <w:r w:rsidR="002D59E3" w:rsidRPr="0025634D">
        <w:rPr>
          <w:rFonts w:cs="Times New Roman"/>
          <w:szCs w:val="24"/>
        </w:rPr>
        <w:t>Pranciškaus Zinkevičiaus peticijos „Dėl nykstančios Lietuvos tautos“</w:t>
      </w:r>
      <w:r w:rsidR="002D59E3" w:rsidRPr="0025634D">
        <w:rPr>
          <w:rFonts w:eastAsia="TimesNewRomanPSMT" w:cs="Times New Roman"/>
          <w:szCs w:val="24"/>
        </w:rPr>
        <w:t xml:space="preserve"> nagrinėjimas iš esmės. </w:t>
      </w:r>
      <w:r w:rsidR="002D59E3" w:rsidRPr="0025634D">
        <w:rPr>
          <w:rFonts w:cs="Times New Roman"/>
          <w:szCs w:val="24"/>
        </w:rPr>
        <w:t xml:space="preserve"> </w:t>
      </w:r>
    </w:p>
    <w:p w:rsidR="00E75748" w:rsidRPr="0025634D" w:rsidRDefault="00E75748" w:rsidP="00D800CA">
      <w:pPr>
        <w:spacing w:line="276" w:lineRule="auto"/>
        <w:rPr>
          <w:rFonts w:cs="Times New Roman"/>
          <w:szCs w:val="24"/>
        </w:rPr>
      </w:pPr>
      <w:r w:rsidRPr="0025634D">
        <w:rPr>
          <w:rFonts w:cs="Times New Roman"/>
          <w:szCs w:val="24"/>
        </w:rPr>
        <w:t xml:space="preserve">3. </w:t>
      </w:r>
      <w:proofErr w:type="spellStart"/>
      <w:r w:rsidR="002D59E3" w:rsidRPr="0025634D">
        <w:rPr>
          <w:rFonts w:cs="Times New Roman"/>
          <w:szCs w:val="24"/>
        </w:rPr>
        <w:t>Česlavos</w:t>
      </w:r>
      <w:proofErr w:type="spellEnd"/>
      <w:r w:rsidR="002D59E3" w:rsidRPr="0025634D">
        <w:rPr>
          <w:rFonts w:cs="Times New Roman"/>
          <w:szCs w:val="24"/>
        </w:rPr>
        <w:t xml:space="preserve"> </w:t>
      </w:r>
      <w:proofErr w:type="spellStart"/>
      <w:r w:rsidR="002D59E3" w:rsidRPr="0025634D">
        <w:rPr>
          <w:rFonts w:cs="Times New Roman"/>
          <w:szCs w:val="24"/>
        </w:rPr>
        <w:t>Maculevičiūtės</w:t>
      </w:r>
      <w:proofErr w:type="spellEnd"/>
      <w:r w:rsidR="002D59E3" w:rsidRPr="0025634D">
        <w:rPr>
          <w:rFonts w:cs="Times New Roman"/>
          <w:szCs w:val="24"/>
        </w:rPr>
        <w:t xml:space="preserve"> peticijos „Dėl mokesčių už liftą daugiabučiuose namuose“</w:t>
      </w:r>
      <w:r w:rsidR="002D59E3" w:rsidRPr="0025634D">
        <w:rPr>
          <w:rFonts w:eastAsia="TimesNewRomanPSMT" w:cs="Times New Roman"/>
          <w:szCs w:val="24"/>
        </w:rPr>
        <w:t xml:space="preserve"> nagrinėjimas iš esmės.</w:t>
      </w:r>
      <w:r w:rsidR="002D59E3" w:rsidRPr="0025634D">
        <w:rPr>
          <w:rFonts w:cs="Times New Roman"/>
          <w:szCs w:val="24"/>
        </w:rPr>
        <w:t xml:space="preserve"> </w:t>
      </w:r>
    </w:p>
    <w:p w:rsidR="00E75748" w:rsidRPr="0025634D" w:rsidRDefault="00E75748" w:rsidP="00D800CA">
      <w:pPr>
        <w:spacing w:line="276" w:lineRule="auto"/>
        <w:rPr>
          <w:rFonts w:cs="Times New Roman"/>
          <w:szCs w:val="24"/>
        </w:rPr>
      </w:pPr>
      <w:r w:rsidRPr="0025634D">
        <w:rPr>
          <w:rFonts w:cs="Times New Roman"/>
          <w:szCs w:val="24"/>
        </w:rPr>
        <w:t xml:space="preserve">4. </w:t>
      </w:r>
      <w:r w:rsidR="002D59E3" w:rsidRPr="0025634D">
        <w:rPr>
          <w:rFonts w:cs="Times New Roman"/>
          <w:szCs w:val="24"/>
        </w:rPr>
        <w:t xml:space="preserve">Rolando Matijošiaus ir kitų pareiškėjų peticijos </w:t>
      </w:r>
      <w:r w:rsidR="002D59E3" w:rsidRPr="0025634D">
        <w:rPr>
          <w:rFonts w:eastAsia="TimesNewRomanPSMT" w:cs="Times New Roman"/>
          <w:szCs w:val="24"/>
        </w:rPr>
        <w:t>„Dėl Lietuvos Respublikos bausmių vykdymo kodekso 157 straipsnio“ nagrinėjimas iš esmės.</w:t>
      </w:r>
      <w:r w:rsidR="002D59E3" w:rsidRPr="0025634D">
        <w:rPr>
          <w:rFonts w:cs="Times New Roman"/>
          <w:szCs w:val="24"/>
        </w:rPr>
        <w:t xml:space="preserve"> </w:t>
      </w:r>
    </w:p>
    <w:p w:rsidR="00E75748" w:rsidRPr="0025634D" w:rsidRDefault="00E75748" w:rsidP="00D800CA">
      <w:pPr>
        <w:spacing w:line="276" w:lineRule="auto"/>
        <w:rPr>
          <w:rFonts w:cs="Times New Roman"/>
          <w:szCs w:val="24"/>
        </w:rPr>
      </w:pPr>
      <w:r w:rsidRPr="0025634D">
        <w:rPr>
          <w:rFonts w:cs="Times New Roman"/>
          <w:szCs w:val="24"/>
        </w:rPr>
        <w:t xml:space="preserve">5. </w:t>
      </w:r>
      <w:r w:rsidR="002D59E3" w:rsidRPr="0025634D">
        <w:rPr>
          <w:rFonts w:cs="Times New Roman"/>
          <w:szCs w:val="24"/>
        </w:rPr>
        <w:t>Dėl Arsenijaus Vorobjovo kreipimosi „Dėl mėgėjiškos žvejybos įstatymo“.</w:t>
      </w:r>
      <w:r w:rsidRPr="0025634D">
        <w:rPr>
          <w:rFonts w:cs="Times New Roman"/>
          <w:szCs w:val="24"/>
        </w:rPr>
        <w:t xml:space="preserve">6. Dėl Milvydo </w:t>
      </w:r>
      <w:proofErr w:type="spellStart"/>
      <w:r w:rsidRPr="0025634D">
        <w:rPr>
          <w:rFonts w:cs="Times New Roman"/>
          <w:szCs w:val="24"/>
        </w:rPr>
        <w:t>Juškausko</w:t>
      </w:r>
      <w:proofErr w:type="spellEnd"/>
      <w:r w:rsidRPr="0025634D">
        <w:rPr>
          <w:rFonts w:cs="Times New Roman"/>
          <w:szCs w:val="24"/>
        </w:rPr>
        <w:t xml:space="preserve"> kreipimosi „Dėl Lietuvos Respublikos žemės įstatymo 47 straipsnio papildymo 13 dalimi“ pripažinimo peticija.</w:t>
      </w:r>
    </w:p>
    <w:p w:rsidR="00E75748" w:rsidRPr="0025634D" w:rsidRDefault="002D59E3" w:rsidP="00D800CA">
      <w:pPr>
        <w:spacing w:line="276" w:lineRule="auto"/>
        <w:rPr>
          <w:rFonts w:cs="Times New Roman"/>
          <w:szCs w:val="24"/>
        </w:rPr>
      </w:pPr>
      <w:r w:rsidRPr="0025634D">
        <w:rPr>
          <w:rFonts w:cs="Times New Roman"/>
          <w:szCs w:val="24"/>
        </w:rPr>
        <w:t xml:space="preserve">6. Dėl Ričardo Rimkaus kreipimosi „Dėl Lietuvos Respublikos valstybės tarnybos įstatymo 7 straipsnio pakeitimo“ pripažinimo peticija. </w:t>
      </w:r>
    </w:p>
    <w:p w:rsidR="00217183" w:rsidRPr="0025634D" w:rsidRDefault="002D59E3" w:rsidP="00D800CA">
      <w:pPr>
        <w:spacing w:line="276" w:lineRule="auto"/>
        <w:rPr>
          <w:rFonts w:cs="Times New Roman"/>
          <w:szCs w:val="24"/>
        </w:rPr>
      </w:pPr>
      <w:r w:rsidRPr="0025634D">
        <w:rPr>
          <w:rFonts w:cs="Times New Roman"/>
          <w:szCs w:val="24"/>
        </w:rPr>
        <w:t>7. Dėl Igno Meškausko kreipimosi „Dėl Lietuvos Respublikos vietos savivaldos įstatymo ir Lietuvos Respublikos valstybės tarnybos įstatymo pakeitimų“.</w:t>
      </w:r>
    </w:p>
    <w:p w:rsidR="002D59E3" w:rsidRPr="0025634D" w:rsidRDefault="002D59E3" w:rsidP="00D800CA">
      <w:pPr>
        <w:spacing w:line="276" w:lineRule="auto"/>
        <w:rPr>
          <w:rFonts w:cs="Times New Roman"/>
          <w:szCs w:val="24"/>
          <w:lang w:eastAsia="lt-LT"/>
        </w:rPr>
      </w:pPr>
      <w:r w:rsidRPr="0025634D">
        <w:rPr>
          <w:rFonts w:cs="Times New Roman"/>
          <w:szCs w:val="24"/>
        </w:rPr>
        <w:t xml:space="preserve">8. Dėl Valerijaus Kazakevičiaus skundo „Dėl </w:t>
      </w:r>
      <w:r w:rsidRPr="0025634D">
        <w:rPr>
          <w:rFonts w:cs="Times New Roman"/>
          <w:szCs w:val="24"/>
          <w:lang w:eastAsia="lt-LT"/>
        </w:rPr>
        <w:t>Lietuvos Respublikos Seimo peticijų komisijos 2015 m balandžio 22 d. priimto sprendimo ir konstitucinės žmogaus peticijos teisės pažeidimo, kitų šiurkščių žmogaus teisių ir laisvių pažeidimų moralinio kankinimo ir diskriminacijos bei  Lietuvos valdžios ir valstybės pareigūnų ir kitų asmenų neteisėtų veiksmų ir neveikimo, funkcijų ir pareigų neatlikimo, biurokratizmo ir vilkinimo, politinės ir teisinės korupcijos, kitų nusikaltimo požymių bei 2015 m. balandžio 23 d. Lietuvos Respublikos Seimo Peticijų komisijos akto Nr. S-2015-2405 prieštaravimo Lietuvos Respublikos Konstitucijai, Tarptautinėms sutartims, įstatymams ir kitiems teisės aktams“.</w:t>
      </w:r>
    </w:p>
    <w:p w:rsidR="00C1603F" w:rsidRPr="0025634D" w:rsidRDefault="002D59E3" w:rsidP="0025634D">
      <w:pPr>
        <w:ind w:firstLine="709"/>
        <w:rPr>
          <w:rFonts w:cs="Times New Roman"/>
          <w:szCs w:val="24"/>
        </w:rPr>
      </w:pPr>
      <w:r w:rsidRPr="0025634D">
        <w:rPr>
          <w:rFonts w:cs="Times New Roman"/>
          <w:szCs w:val="24"/>
          <w:lang w:eastAsia="lt-LT"/>
        </w:rPr>
        <w:t>Pirmuoju klausimu buvo priimtas sprendimas</w:t>
      </w:r>
      <w:r w:rsidR="00C1603F" w:rsidRPr="0025634D">
        <w:rPr>
          <w:rFonts w:cs="Times New Roman"/>
          <w:szCs w:val="24"/>
        </w:rPr>
        <w:t xml:space="preserve"> atmesti Aušrio Gedvilo ir Rimanto Astrausko peticijoje „Dėl Lietuvos Respublikos energetikos įstatymo 15 straipsnio 4 dalies pakeitimo“ pateiktą pasiūlymą „Li</w:t>
      </w:r>
      <w:r w:rsidR="00C1603F" w:rsidRPr="0025634D">
        <w:rPr>
          <w:rFonts w:eastAsia="TimesNewRomanPSMT" w:cs="Times New Roman"/>
          <w:szCs w:val="24"/>
        </w:rPr>
        <w:t>etuvos Respublikos energetikos įstatymo 15 straipsnio 4 dalyje išbraukti du paskutinius sakinius: „Šiuo atveju vartotojas, gamintojas ar kitas asmuo, kurio prašymu energetikos objektas yra rekonstruojamas ar perkeliamas, apmoka energetikos įmonei energetikos objekto rekonstravimo ar perkėlimo išlaidas. Perkeltų ar rekonstruotų energetikos objektų nuosavybė nekeičiama.“</w:t>
      </w:r>
      <w:r w:rsidR="00C1603F" w:rsidRPr="0025634D">
        <w:rPr>
          <w:rFonts w:cs="Times New Roman"/>
          <w:szCs w:val="24"/>
        </w:rPr>
        <w:t xml:space="preserve"> </w:t>
      </w:r>
    </w:p>
    <w:p w:rsidR="00C1603F" w:rsidRPr="0025634D" w:rsidRDefault="00C1603F" w:rsidP="0025634D">
      <w:pPr>
        <w:ind w:firstLine="709"/>
        <w:rPr>
          <w:rFonts w:cs="Times New Roman"/>
          <w:szCs w:val="24"/>
        </w:rPr>
      </w:pPr>
      <w:r w:rsidRPr="0025634D">
        <w:rPr>
          <w:rFonts w:cs="Times New Roman"/>
          <w:color w:val="000000"/>
          <w:szCs w:val="24"/>
        </w:rPr>
        <w:t xml:space="preserve">Komisija šį sprendimą priėmė, atsižvelgusi į Lietuvos Respublikos energetikos ministerijos pateiktą nuomonę ir manydama, kad </w:t>
      </w:r>
      <w:r w:rsidRPr="0025634D">
        <w:rPr>
          <w:rFonts w:cs="Times New Roman"/>
          <w:szCs w:val="24"/>
        </w:rPr>
        <w:t xml:space="preserve">energetikos (elektros ar gamtinių dujų) tinklai yra skirti viešojo intereso labui, nes tenkina ypatingas visuomenės reikmes. Atsižvelgiant į šių objektų reikšmingumą, o taip pat ir į ribotus energetikos išteklius bei materialinius, finansinius ir kitus svarbius veiksnius, kurie įstatymų leidėjo turi būti užtikrinami kaip tarnaujantys bendrai </w:t>
      </w:r>
      <w:r w:rsidRPr="0025634D">
        <w:rPr>
          <w:rFonts w:cs="Times New Roman"/>
          <w:szCs w:val="24"/>
        </w:rPr>
        <w:lastRenderedPageBreak/>
        <w:t>visuomenės gerovei, pavienių asmenų nuosavybės teisė nėra absoliuti – jos ribojimai yra galimi ir pateisinami.</w:t>
      </w:r>
    </w:p>
    <w:p w:rsidR="00C1603F" w:rsidRPr="0025634D" w:rsidRDefault="00C1603F" w:rsidP="0025634D">
      <w:pPr>
        <w:autoSpaceDE w:val="0"/>
        <w:autoSpaceDN w:val="0"/>
        <w:adjustRightInd w:val="0"/>
        <w:ind w:firstLine="709"/>
        <w:rPr>
          <w:rFonts w:cs="Times New Roman"/>
          <w:szCs w:val="24"/>
        </w:rPr>
      </w:pPr>
      <w:r w:rsidRPr="0025634D">
        <w:rPr>
          <w:rFonts w:cs="Times New Roman"/>
          <w:szCs w:val="24"/>
        </w:rPr>
        <w:t>Projektuojant energetikos tinklus, yra laikomasi ekonominio tikslingumo ir ekonomiškumo principų, t.y., jie projektuojami ir tiesiami trumpiausiomis įmanomomis trasomis ir kaip įmanoma už mažesnes sąnaudas. Pradėjus eksploatuoti energetikos objektus, iškyla poreikis juos perkelti dėl vienokių ar kitokių priežasčių: investuotojų ketinimas statyti verslo objektus jau veikiančių energetikos objektų (įrenginių ar linijų) vietoje, vizualinė tarša – asmens nepasitenkinimas dėl šalia esančių ir veikiančių energetikos objektų ir kt.  Be to, dauguma šiuo metu eksploatuojamų energetikos objektų yra įrengti pakankamai seniai, šiems objektams įstatymu, sutartimis ar teismo sprendimais yra nustatyti servitutai, taip pat energetikos įmonėms priklausantiems energetikos objektams teisės aktais nustatytos apsaugos zonos. Todėl įsigydami nuosavybės teise žemės sklypus ar norėdami perkelti energetikos objektus, asmenys žino ir turi iš anksto įvertinti tuose žemės sklypuose nustatytus servitutus ar objektų apsaugos zonas.</w:t>
      </w:r>
    </w:p>
    <w:p w:rsidR="00C1603F" w:rsidRPr="0025634D" w:rsidRDefault="00C1603F" w:rsidP="0025634D">
      <w:pPr>
        <w:autoSpaceDE w:val="0"/>
        <w:autoSpaceDN w:val="0"/>
        <w:adjustRightInd w:val="0"/>
        <w:rPr>
          <w:rFonts w:cs="Times New Roman"/>
          <w:szCs w:val="24"/>
        </w:rPr>
      </w:pPr>
      <w:r w:rsidRPr="0025634D">
        <w:rPr>
          <w:rFonts w:cs="Times New Roman"/>
          <w:szCs w:val="24"/>
        </w:rPr>
        <w:t xml:space="preserve">Pagal Lietuvos Respublikos energetikos įstatymo 39 straipsnio 1 dalies 3 punktą, taip pat pagal Lietuvos Respublikos gamtinių dujų įstatymo 34 straipsnio 1 dalį įmonės, valdančios skirstomuosius (elektros ir gamtinių dujų) tinklus, yra įpareigotos ekonomiškai eksploatuoti, prižiūrėti, valdyti joms priklausančius skirstomuosius tinklus ir plėtoti saugią, patikimą skirstymo sistemą, atsižvelgiant į aplinkosaugos ir kitus reikalavimus. Pažymėtina, kad </w:t>
      </w:r>
      <w:proofErr w:type="spellStart"/>
      <w:r w:rsidRPr="0025634D">
        <w:rPr>
          <w:rFonts w:cs="Times New Roman"/>
          <w:szCs w:val="24"/>
        </w:rPr>
        <w:t>sistemiškai</w:t>
      </w:r>
      <w:proofErr w:type="spellEnd"/>
      <w:r w:rsidRPr="0025634D">
        <w:rPr>
          <w:rFonts w:cs="Times New Roman"/>
          <w:szCs w:val="24"/>
        </w:rPr>
        <w:t xml:space="preserve"> taikant energetikos sektorių reglamentuojančius teisės aktus, darytina išvada, kad Energetikos įstatymo 15 straipsnio 4 dalis iš esmės reiškia, jog vartotojas, gamintojas ar kitas asmuo, kurio prašymu energetikos objektas yra rekonstruojamas, iškeliamas ar perkeliamas į kitą vietą, sumoka energetikos įmonėms ne už naujų energetikos objektų įrengimą, tačiau už šių energetikos objektų perkėlimą iš vienos vietos į kitą esant paties vartotojo, gamintojo ar kito asmens išreikštai valiai perkelti tokius energetikos objektus.</w:t>
      </w:r>
    </w:p>
    <w:p w:rsidR="00C1603F" w:rsidRPr="0025634D" w:rsidRDefault="00C1603F" w:rsidP="0025634D">
      <w:pPr>
        <w:autoSpaceDE w:val="0"/>
        <w:autoSpaceDN w:val="0"/>
        <w:adjustRightInd w:val="0"/>
        <w:rPr>
          <w:rFonts w:cs="Times New Roman"/>
          <w:szCs w:val="24"/>
        </w:rPr>
      </w:pPr>
      <w:r w:rsidRPr="0025634D">
        <w:rPr>
          <w:rFonts w:cs="Times New Roman"/>
          <w:szCs w:val="24"/>
        </w:rPr>
        <w:t>Patenkinus peticijoje pateiktą pasiūlymą, tinklų perkėlimo išlaidos galimai butų priskirtos visiems vartotojams, t.y. išbraukus iš Energetikos įstatymo 15 straipsnio 4 dalies paskutiniuosius du sakinius, iškiltų sąlygos atsirasti neapibrėžtumui dėl to, kas turi pareigą apmokėti išlaidas, kylančias iškeliant ar perkeliant energetikos objektus. Darant prielaidą, kad išlaidas turėtų padengti energetikos objektus eksploatuojančios energetikos įmonės, manytina, kad toks išlaidų priskyrimas energetikos įmonėms turėtų reikšmingą poveikį energetikos įmonių kaštams bei darytų įtaką galutinės energijos kainos didėjimui, įtraukiant patirtas energetikos objektų iškėlimo išlaidas į energijos tarifą. Be to, manoma, kad patenkinus peticijoje pateiktą pasiūlymą ir atsisakius nurodytos Energetikos įstatymo straipsnio nuostatos, atsirastų nepagrįstų prašymų Bendrovėms, reikalaujant iškelti energetikos objektus ar perkelti juos iš vienos vietos į kitą Bendrovių lėšomis, nors tai dažnu atveju gali būti techniškai ir ekonomiškai neįmanoma.</w:t>
      </w:r>
    </w:p>
    <w:p w:rsidR="00AF2742" w:rsidRPr="0025634D" w:rsidRDefault="00C1603F" w:rsidP="0025634D">
      <w:pPr>
        <w:ind w:firstLine="709"/>
        <w:rPr>
          <w:rFonts w:cs="Times New Roman"/>
          <w:szCs w:val="24"/>
        </w:rPr>
      </w:pPr>
      <w:r w:rsidRPr="0025634D">
        <w:rPr>
          <w:rFonts w:cs="Times New Roman"/>
          <w:szCs w:val="24"/>
        </w:rPr>
        <w:lastRenderedPageBreak/>
        <w:t>Antruoju klausimu buvo priimtas sprendimas</w:t>
      </w:r>
      <w:r w:rsidR="00AF2742" w:rsidRPr="0025634D">
        <w:rPr>
          <w:rFonts w:cs="Times New Roman"/>
          <w:szCs w:val="24"/>
        </w:rPr>
        <w:t>:</w:t>
      </w:r>
    </w:p>
    <w:p w:rsidR="00AF2742" w:rsidRPr="0025634D" w:rsidRDefault="00AF2742" w:rsidP="0025634D">
      <w:pPr>
        <w:ind w:firstLine="709"/>
        <w:rPr>
          <w:rFonts w:cs="Times New Roman"/>
          <w:szCs w:val="24"/>
        </w:rPr>
      </w:pPr>
      <w:r w:rsidRPr="0025634D">
        <w:rPr>
          <w:rFonts w:cs="Times New Roman"/>
          <w:szCs w:val="24"/>
        </w:rPr>
        <w:t xml:space="preserve">1. Atmesti </w:t>
      </w:r>
      <w:r w:rsidR="00315BB3" w:rsidRPr="0025634D">
        <w:rPr>
          <w:rFonts w:cs="Times New Roman"/>
          <w:szCs w:val="24"/>
        </w:rPr>
        <w:t xml:space="preserve">Pranciškaus Zinkevičiaus </w:t>
      </w:r>
      <w:r w:rsidRPr="0025634D">
        <w:rPr>
          <w:rFonts w:cs="Times New Roman"/>
          <w:szCs w:val="24"/>
        </w:rPr>
        <w:t xml:space="preserve">peticijoje „Dėl nykstančios Lietuvos tautos“ pateiktus toliau išvardytus pasiūlymus ir šių pasiūlymų įgyvendinimo priemones: </w:t>
      </w:r>
    </w:p>
    <w:p w:rsidR="00AF2742" w:rsidRPr="0025634D" w:rsidRDefault="00AF2742" w:rsidP="0025634D">
      <w:pPr>
        <w:ind w:firstLine="709"/>
        <w:rPr>
          <w:rFonts w:cs="Times New Roman"/>
          <w:szCs w:val="24"/>
        </w:rPr>
      </w:pPr>
      <w:r w:rsidRPr="0025634D">
        <w:rPr>
          <w:rFonts w:cs="Times New Roman"/>
          <w:szCs w:val="24"/>
        </w:rPr>
        <w:t>1.2 dėl materialinių prielaidų sudarymo vaikų gimstamumui Lietuvoje padidinti;</w:t>
      </w:r>
    </w:p>
    <w:p w:rsidR="00AF2742" w:rsidRPr="0025634D" w:rsidRDefault="00AF2742" w:rsidP="0025634D">
      <w:pPr>
        <w:ind w:firstLine="709"/>
        <w:rPr>
          <w:rFonts w:cs="Times New Roman"/>
          <w:szCs w:val="24"/>
        </w:rPr>
      </w:pPr>
      <w:r w:rsidRPr="0025634D">
        <w:rPr>
          <w:rFonts w:cs="Times New Roman"/>
          <w:szCs w:val="24"/>
        </w:rPr>
        <w:t>1.2 dėl Lietuvos išblaivinimo, dėl sveiko gyvenimo būdo;</w:t>
      </w:r>
    </w:p>
    <w:p w:rsidR="00AF2742" w:rsidRPr="0025634D" w:rsidRDefault="00AF2742" w:rsidP="0025634D">
      <w:pPr>
        <w:ind w:firstLine="709"/>
        <w:rPr>
          <w:rFonts w:cs="Times New Roman"/>
          <w:szCs w:val="24"/>
        </w:rPr>
      </w:pPr>
      <w:r w:rsidRPr="0025634D">
        <w:rPr>
          <w:rFonts w:cs="Times New Roman"/>
          <w:szCs w:val="24"/>
        </w:rPr>
        <w:t>1.3 dėl moralės (dorovės) sugrąžinimo į Lietuvos gyvenimą;</w:t>
      </w:r>
    </w:p>
    <w:p w:rsidR="00AF2742" w:rsidRPr="0025634D" w:rsidRDefault="00AF2742" w:rsidP="0025634D">
      <w:pPr>
        <w:ind w:firstLine="709"/>
        <w:rPr>
          <w:rFonts w:cs="Times New Roman"/>
          <w:szCs w:val="24"/>
        </w:rPr>
      </w:pPr>
      <w:r w:rsidRPr="0025634D">
        <w:rPr>
          <w:rFonts w:cs="Times New Roman"/>
          <w:szCs w:val="24"/>
        </w:rPr>
        <w:t xml:space="preserve">1.3 dėl emigracijos stabdymo, imigracijos skatinimo. </w:t>
      </w:r>
    </w:p>
    <w:p w:rsidR="00AF2742" w:rsidRPr="0025634D" w:rsidRDefault="00AF2742" w:rsidP="0025634D">
      <w:pPr>
        <w:autoSpaceDE w:val="0"/>
        <w:autoSpaceDN w:val="0"/>
        <w:adjustRightInd w:val="0"/>
        <w:rPr>
          <w:rFonts w:eastAsia="TimesNewRomanPSMT" w:cs="Times New Roman"/>
          <w:szCs w:val="24"/>
        </w:rPr>
      </w:pPr>
      <w:r w:rsidRPr="0025634D">
        <w:rPr>
          <w:rFonts w:cs="Times New Roman"/>
          <w:bCs/>
          <w:szCs w:val="24"/>
        </w:rPr>
        <w:t xml:space="preserve">2. Tenkinti peticijoje pateiktą pasiūlymą </w:t>
      </w:r>
      <w:r w:rsidRPr="0025634D">
        <w:rPr>
          <w:rFonts w:eastAsia="TimesNewRomanPSMT" w:cs="Times New Roman"/>
          <w:szCs w:val="24"/>
        </w:rPr>
        <w:t>apdovanoti ordino „Už nuopelnus Lietuvai” medaliu motinas, pagimdžiusias ir užauginusias bei gerai išauklėjusias 5 ir daugiau vaikų.</w:t>
      </w:r>
    </w:p>
    <w:p w:rsidR="00AF2742" w:rsidRPr="0025634D" w:rsidRDefault="00AF2742" w:rsidP="0025634D">
      <w:pPr>
        <w:ind w:firstLine="709"/>
        <w:rPr>
          <w:rFonts w:cs="Times New Roman"/>
          <w:color w:val="000000"/>
          <w:szCs w:val="24"/>
        </w:rPr>
      </w:pPr>
      <w:r w:rsidRPr="0025634D">
        <w:rPr>
          <w:rFonts w:cs="Times New Roman"/>
          <w:color w:val="000000"/>
          <w:szCs w:val="24"/>
        </w:rPr>
        <w:t xml:space="preserve">Komisija šį sprendimą priėmė, atsižvelgusi į Lietuvos Respublikos socialinės apsaugos ir darbo ministerijos, Lietuvos Respublikos sveikatos apsaugos ministerijos, Lietuvos Respublikos Švietimo ir mokslo ministerijos ir Lietuvos Respublikos vidaus reikalų ministerijos pateiktas nuomones ir dėl šių priežasčių: </w:t>
      </w:r>
    </w:p>
    <w:p w:rsidR="00315BB3" w:rsidRPr="0025634D" w:rsidRDefault="00315BB3" w:rsidP="0025634D">
      <w:pPr>
        <w:autoSpaceDE w:val="0"/>
        <w:autoSpaceDN w:val="0"/>
        <w:adjustRightInd w:val="0"/>
        <w:rPr>
          <w:rFonts w:eastAsia="TimesNewRomanPSMT" w:cs="Times New Roman"/>
          <w:b/>
          <w:szCs w:val="24"/>
        </w:rPr>
      </w:pPr>
      <w:r w:rsidRPr="0025634D">
        <w:rPr>
          <w:rFonts w:eastAsia="TimesNewRomanPSMT" w:cs="Times New Roman"/>
          <w:b/>
          <w:szCs w:val="24"/>
        </w:rPr>
        <w:t>Dėl išmokų vaikams</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Peticijoje pateikti pasiūlymai, susiję su Lietuvos Respublikos išmokų vaikams įstatymo nuostatų pakeitimais, turėtų tiesioginės įtakos finansinėmis priemonėmis gerinti šeimų, auginančių vaikus, materialinę padėtį. Atsižvelgiant į tai, kad išmokos vaikams nėra siejamos su socialiniu draudimu, ir tai, kad jos priskirtinos neįmokinėms išmokoms, pareiškėjo pateikti pasiūlymai, susiję su tiesioginėmis piniginėmis išmokoms, turėtų būti objektyviai įvertinti, atsižvelgiant į esamą ekonominę situaciją šalyje bei valstybės finansines galimybes.</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Peticijoje pateiktas siūlymas skirti vienkartinę išmoką kiekvienam tik santuokoje gimusiam vaikui galimai pažeistų konstitucinį asmenų lygiateisiškumo principą ne santuokoje gimusių vaikų atžvilgiu.</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Lietuvos Respublikos Konstitucinio Teismo 2007 m. spalio 24 d. nutarime „Dėl Lietuvos Respublikos civilinio proceso kodekso 4, 165 straipsnių (2002 m. vasario 28 d. redakcija) atitikties Lietuvos Respublikos Konstitucijai” konstatuota, kad „&lt;...&gt; konstitucinis asmenų lygiateisiškumo principas reiškia žmogaus prigimtinę teisę būti traktuojamam vienodai su kitais, jis įtvirtina formalią visų asmenų lygybę, įpareigoja vienodus faktus teisiškai vertinti vienodai ir draudžia iš esmės tokius pat faktus savavališkai vertinti skirtingai, neleidžia asmenų diskriminuoti ir teikti jiems privilegijų, &lt;...&gt; šis konstitucinis principas būtų pažeistas, jeigu tam tikri asmenys, kuriems skiriamas teisinis reguliavimas, palyginti su kitais asmenimis, kuriems taip pat skiriamas atitinkamas teisinis reguliavimas, būtų kitaip traktuojami, nors tarp jų nėra tokių skirtumų, kad toks nevienodas traktavimas būtų objektyviai pateisinamas“.</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 xml:space="preserve">Statistikos departamento duomenimis, Lietuvoje santuokos neįregistravusiems tėvams 2013 m. gimė 29,5 proc. visų Lietuvoje gimusių vaikų. Taigi, pritarus tokiam siūlymui, būtų nustatytas </w:t>
      </w:r>
      <w:r w:rsidRPr="0025634D">
        <w:rPr>
          <w:rFonts w:eastAsia="TimesNewRomanPSMT" w:cs="Times New Roman"/>
          <w:szCs w:val="24"/>
        </w:rPr>
        <w:lastRenderedPageBreak/>
        <w:t>skirtingas teisinis reguliavimas gauti vienkartinę išmoką vaikui, t. y, vaikai, kurie būtų gimę ne santuokoje, pagal siūlomą teisinį reguliavimą šios vienkartinės išmokos vaikui negautų.</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 xml:space="preserve">Pareiškėjo peticijoje pateiktam siūlymui skirti 38 BSI (1444 </w:t>
      </w:r>
      <w:proofErr w:type="spellStart"/>
      <w:r w:rsidRPr="0025634D">
        <w:rPr>
          <w:rFonts w:eastAsia="TimesNewRomanPSMT" w:cs="Times New Roman"/>
          <w:szCs w:val="24"/>
        </w:rPr>
        <w:t>Eur</w:t>
      </w:r>
      <w:proofErr w:type="spellEnd"/>
      <w:r w:rsidRPr="0025634D">
        <w:rPr>
          <w:rFonts w:eastAsia="TimesNewRomanPSMT" w:cs="Times New Roman"/>
          <w:szCs w:val="24"/>
        </w:rPr>
        <w:t xml:space="preserve">) dydžio vienkartinę išmoką kiekvienam santuokoje gimusiam pirmam vaikui, antram vaikui – 44 BSI (1672 </w:t>
      </w:r>
      <w:proofErr w:type="spellStart"/>
      <w:r w:rsidRPr="0025634D">
        <w:rPr>
          <w:rFonts w:eastAsia="TimesNewRomanPSMT" w:cs="Times New Roman"/>
          <w:szCs w:val="24"/>
        </w:rPr>
        <w:t>Eur</w:t>
      </w:r>
      <w:proofErr w:type="spellEnd"/>
      <w:r w:rsidRPr="0025634D">
        <w:rPr>
          <w:rFonts w:eastAsia="TimesNewRomanPSMT" w:cs="Times New Roman"/>
          <w:szCs w:val="24"/>
        </w:rPr>
        <w:t xml:space="preserve">) dydžio, o trečiam ir paskesniems vaikams – 55 BSI (2090 </w:t>
      </w:r>
      <w:proofErr w:type="spellStart"/>
      <w:r w:rsidRPr="0025634D">
        <w:rPr>
          <w:rFonts w:eastAsia="TimesNewRomanPSMT" w:cs="Times New Roman"/>
          <w:szCs w:val="24"/>
        </w:rPr>
        <w:t>Eur</w:t>
      </w:r>
      <w:proofErr w:type="spellEnd"/>
      <w:r w:rsidRPr="0025634D">
        <w:rPr>
          <w:rFonts w:eastAsia="TimesNewRomanPSMT" w:cs="Times New Roman"/>
          <w:szCs w:val="24"/>
        </w:rPr>
        <w:t xml:space="preserve">) dydžio vienkartinę išmoką, įgyvendinti metams iš valstybės biudžeto papildomai reikėtų apie 24,5 mln. eurų. Siūlymui skirti 9 BSI (342 </w:t>
      </w:r>
      <w:proofErr w:type="spellStart"/>
      <w:r w:rsidRPr="0025634D">
        <w:rPr>
          <w:rFonts w:eastAsia="TimesNewRomanPSMT" w:cs="Times New Roman"/>
          <w:szCs w:val="24"/>
        </w:rPr>
        <w:t>Eur</w:t>
      </w:r>
      <w:proofErr w:type="spellEnd"/>
      <w:r w:rsidRPr="0025634D">
        <w:rPr>
          <w:rFonts w:eastAsia="TimesNewRomanPSMT" w:cs="Times New Roman"/>
          <w:szCs w:val="24"/>
        </w:rPr>
        <w:t xml:space="preserve">) dydžio vienkartinę išmoką nėščiai moteriai, neturinčiai teisės gauti motinystės pašalpos, įgyvendinti metams iš valstybės biudžeto papildomai reikėtų apie 2 mln. eurų. Siūlymui skirti 2 BSI (76 </w:t>
      </w:r>
      <w:proofErr w:type="spellStart"/>
      <w:r w:rsidRPr="0025634D">
        <w:rPr>
          <w:rFonts w:eastAsia="TimesNewRomanPSMT" w:cs="Times New Roman"/>
          <w:szCs w:val="24"/>
        </w:rPr>
        <w:t>Eur</w:t>
      </w:r>
      <w:proofErr w:type="spellEnd"/>
      <w:r w:rsidRPr="0025634D">
        <w:rPr>
          <w:rFonts w:eastAsia="TimesNewRomanPSMT" w:cs="Times New Roman"/>
          <w:szCs w:val="24"/>
        </w:rPr>
        <w:t>) dydžio išmoką per mėnesį vaiko motinai, neturinčiai teisės gauti motinystės, motinystės (tėvystės) pašalpos dvejus metus nuo vaiko gimimo dienos, papildomai iš valstybės biudžeto reikėtų: pirmiems metams – apie 6,9 mln. eurų; antriems metams – apie 13,9 mln. eurų.</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Taigi, pritarti šiam pasiūlymui galima būtų tik tada, jei valstybė turėtų finansinių lėšų šiems pasiūlymams tenkinti. Valstybė negali prisiimti tokių įsipareigojimų, kurių ji negali pakelti.</w:t>
      </w:r>
    </w:p>
    <w:p w:rsidR="00315BB3" w:rsidRPr="0025634D" w:rsidRDefault="00315BB3" w:rsidP="0025634D">
      <w:pPr>
        <w:autoSpaceDE w:val="0"/>
        <w:autoSpaceDN w:val="0"/>
        <w:adjustRightInd w:val="0"/>
        <w:rPr>
          <w:rFonts w:eastAsia="TimesNewRomanPSMT" w:cs="Times New Roman"/>
          <w:b/>
          <w:szCs w:val="24"/>
        </w:rPr>
      </w:pPr>
      <w:r w:rsidRPr="0025634D">
        <w:rPr>
          <w:rFonts w:cs="Times New Roman"/>
          <w:b/>
          <w:bCs/>
          <w:szCs w:val="24"/>
        </w:rPr>
        <w:t>Dėl antrojo laipsnio valstybinės pensijos</w:t>
      </w:r>
    </w:p>
    <w:p w:rsidR="00315BB3" w:rsidRPr="0025634D" w:rsidRDefault="00315BB3" w:rsidP="0025634D">
      <w:pPr>
        <w:autoSpaceDE w:val="0"/>
        <w:autoSpaceDN w:val="0"/>
        <w:adjustRightInd w:val="0"/>
        <w:rPr>
          <w:rFonts w:cs="Times New Roman"/>
          <w:bCs/>
          <w:szCs w:val="24"/>
          <w:u w:val="single"/>
        </w:rPr>
      </w:pPr>
      <w:r w:rsidRPr="0025634D">
        <w:rPr>
          <w:rFonts w:eastAsia="TimesNewRomanPSMT" w:cs="Times New Roman"/>
          <w:szCs w:val="24"/>
        </w:rPr>
        <w:t>Valstybės parama daugiavaikėms motinoms yra teikiama ir peržiūrima, atsižvelgiant i valstybės biudžeto finansines galimybes.</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1994 metų pensijų reformos įstatymais buvo nustatytos Lietuvos Respublikos antrojo laipsnio valstybinės pensijos daugiavaikėms motinoms, pagimdžiusioms (įvaikinusioms) 10 ir daugiau vaikų, išauginusioms juos ir gerai išauklėjusioms. Nuo 2005 m. šios pensijos pradėtos mokėti daugiavaikėms motinoms, kurios pagimdė (įvaikino) 7 ir daugiau vaikų, o nuo 2014 m. - daugiavaikėms motinoms, kurios pagimdė (įvaikino) 5 ir daugiau vaikų, juos išaugino iki 8 metų ir gerai išauklėjo. Antrojo laipsnio valstybinės pensijos skyrimas daugiavaikėms motinoms valstybės buvo nustatytas siekiant užtikrinti aukštesnes pajamas dėl to, kad šios motinos, augindamos vaikus, dažnai negalėjo dirbti ir įgyti daugiau stažo, o dėl to neįgijo teisės į didesnę valstybinę socialinio draudimo pensiją.</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 xml:space="preserve">Vadovaujantis Šalpos išmokų įstatymu, motinoms, kurios iki 1995 m. sausio 1 d. pagimdė 5 ar daugiau vaikų ir išaugino juos iki 8 metų bei sukako 5 metais mažesnį už senatvės pensijos amžių ar yra pripažintos nedarbingomis ar iš dalies darbingomis, netekusiomis 60 procentų ir daugiau darbingumo, skiriamos šalpos kompensacijos. Šalpos kompensacijos mokamos tol, kol daugiavaikės motinos įgyja teisę gauti valstybinę socialinio draudimo pensiją, valstybinę pensiją ir kt., išskyrus valstybinę socialinio draudimo našlių pensiją. Toks teisinis reguliavimas buvo nustatytas siekiant išsaugoti motinoms teisines garantijas, kurios galiojo iki 1995 metų. Pagal iki 1995 m. sausio l d. galiojusį teisinį reguliavimą moterys, pagimdžiusios 5 arba daugiau vaikų ir išauginusios juos iki 8 metų amžiaus, turėjo teisę gauti senatvės pensiją sukakusios 50 metų ir </w:t>
      </w:r>
      <w:r w:rsidRPr="0025634D">
        <w:rPr>
          <w:rFonts w:eastAsia="TimesNewRomanPSMT" w:cs="Times New Roman"/>
          <w:szCs w:val="24"/>
        </w:rPr>
        <w:lastRenderedPageBreak/>
        <w:t>turėdamos ne mažesnį kaip 15 metų darbo stažą (kitos moterys turėjo teisę gauti senatvės pensiją sukakusios 55 metus ir turėdamos ne mažesnį kaip 20 metų darbo stažą).</w:t>
      </w:r>
    </w:p>
    <w:p w:rsidR="00315BB3" w:rsidRPr="0025634D" w:rsidRDefault="00315BB3" w:rsidP="0025634D">
      <w:pPr>
        <w:autoSpaceDE w:val="0"/>
        <w:autoSpaceDN w:val="0"/>
        <w:adjustRightInd w:val="0"/>
        <w:rPr>
          <w:rFonts w:cs="Times New Roman"/>
          <w:b/>
          <w:bCs/>
          <w:szCs w:val="24"/>
        </w:rPr>
      </w:pPr>
      <w:r w:rsidRPr="0025634D">
        <w:rPr>
          <w:rFonts w:cs="Times New Roman"/>
          <w:b/>
          <w:bCs/>
          <w:szCs w:val="24"/>
        </w:rPr>
        <w:t xml:space="preserve">Dėl senatvės pensijos amžiaus mažinimo </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Vienos profesinės veiklos ar socialinės grupės pripažinimas išimtine būtų precedentas kitoms grupėms reikalauti tokių pat išimtinių sąlygų. Net ir Pensijų įstatyme įtvirtinus senatvės pensijos amžiaus lengvatą daugiavaikėms motinoms, tai paveiktų jų pensijų dydį – dėl mažesnio stažo jos būtų mažesnės.</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Šiuo metu Valstybinių socialinio draudimo pensijų įstatyme (toliau – Pensijų įstatymas) nėra numatyta jokių išimtinių senatvės pensijos amžiaus lengvatų nei vienai profesinei ar socialinei grupei. Tai pagrįsta visų asmenų lygiateisiškumo principu – visi dirbantys asmenys moka (už juos mokamos) vienodo tarifo pensijų draudimo įmokas į Valstybinio socialinio draudimo fondo (toliau - VSDF) biudžetą, o įvykus draudžiamajam įvykiui (pvz., sukakus senatvės pensijos amžių ar tapus neįgaliam) naudojasi visiems nustatytomis vienodomis teisėmis gauti iš šio biudžeto atitinkamas išmokas.</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 xml:space="preserve">Pensijų įstatymas galioja jau daugiau kaip dvidešimt metų. Per šį laikotarpį buvo gauta pasiūlymų skirti iš VSDF biudžeto priešlaikines senatvės pensijas ne tik daugiavaikėms motinoms, bet ir įvairių profesijų darbuotojams, kurie dėl savo profesijos specifikos negali dirbti pagal specialybę (keleivinio transporto (autobusų ir troleibusų) vairuotojai, mokytojai, civilinės aviacijos darbuotojai, narai, greitosios medicinos pagalbos darbuotojai, ugniagesiai gelbėtojai ir pan.), tačiau nei vienai šių asmenų grupei nėra numatyta išimčių ar išlygų skiriant senatvės pensijas ankščiau, nei šie asmenys sukanka Pensijų įstatyme nustatytą senatvės pensijos amžių.  </w:t>
      </w:r>
    </w:p>
    <w:p w:rsidR="00315BB3" w:rsidRPr="0025634D" w:rsidRDefault="00315BB3" w:rsidP="0025634D">
      <w:pPr>
        <w:autoSpaceDE w:val="0"/>
        <w:autoSpaceDN w:val="0"/>
        <w:adjustRightInd w:val="0"/>
        <w:rPr>
          <w:rFonts w:cs="Times New Roman"/>
          <w:b/>
          <w:bCs/>
          <w:szCs w:val="24"/>
        </w:rPr>
      </w:pPr>
      <w:r w:rsidRPr="0025634D">
        <w:rPr>
          <w:rFonts w:cs="Times New Roman"/>
          <w:b/>
          <w:bCs/>
          <w:szCs w:val="24"/>
        </w:rPr>
        <w:t>Dėl sąlygų moterims dirbti</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Socialinės apsaugos ir darbo ministerija yra parengusi naują Lietuvos Respublikos darbo kodekso projektą, kuriame siūloma įteisinti darbo ne visą darbo dieną ir nuotolinio darbo, kaip laikino ar nuolatinio darbo organizavimo būdą. Projekte siekiama išplėsti darbo sutarčių rūšių sąrašą: būtų įtvirtintos laikinosios darbo sutartys, projektinio darbo sutartys, darbinio mokymo darbo sutartys, darbo vietos dalijimosi darbo sutartys ir t. t. Toks siūlomas darbo sutarčių rūšių išplėtimas siejamas su pasikeitusiu darbo santykių poreikiu, taip pat tokiu būdu būtų mažinamas nelegalus darbas, nes darbdavys iš plataus darbo sutarčių rūšių sąrašo galės išsirinkti jo poreikius labiausiai atitinkančią darbo sutarties rūšį. Toks darbo sutarčių sąrašo išplėtimas būtų naudingas ir darbdaviams, ir darbuotojams.</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 xml:space="preserve">Numatoma galimybė sudaryti nenustatytos apimties darbo sutartis, pagal kurias darbo sutartyje darbo funkcijos atlikimo laikas iš anksto nenustatytas, tačiau darbuotojas įsipareigoja darbo funkciją atlikti darbdavio kvietimu, o darbdavys įsipareigoja darbuotojui sumokėti už jo atliktą darbą, taip pat numatoma darbo vietos dalijimosi darbo sutartis, kai du darbuotojai gali </w:t>
      </w:r>
      <w:r w:rsidRPr="0025634D">
        <w:rPr>
          <w:rFonts w:eastAsia="TimesNewRomanPSMT" w:cs="Times New Roman"/>
          <w:szCs w:val="24"/>
        </w:rPr>
        <w:lastRenderedPageBreak/>
        <w:t>susitarti dėl vienos darbo vietos dalijimosi, tai leistų darbuotojoms, neseniai pagimdžiusioms ir auginančioms vaikus, palengva grįžti į. darbo rinką ir taip suderinti-darbo bei šeiminius įsipareigojimus.</w:t>
      </w:r>
    </w:p>
    <w:p w:rsidR="00315BB3" w:rsidRPr="0025634D" w:rsidRDefault="00315BB3" w:rsidP="0025634D">
      <w:pPr>
        <w:autoSpaceDE w:val="0"/>
        <w:autoSpaceDN w:val="0"/>
        <w:adjustRightInd w:val="0"/>
        <w:rPr>
          <w:rFonts w:cs="Times New Roman"/>
          <w:b/>
          <w:bCs/>
          <w:szCs w:val="24"/>
        </w:rPr>
      </w:pPr>
      <w:r w:rsidRPr="0025634D">
        <w:rPr>
          <w:rFonts w:cs="Times New Roman"/>
          <w:b/>
          <w:bCs/>
          <w:szCs w:val="24"/>
        </w:rPr>
        <w:t xml:space="preserve">Dėl vaiko teisių apsaugos </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Teisės aktais nustatyta, kad abu tėvai turi pareigą išlaikyti savo vaikus iki pilnametystės ar ir ilgiau, proporcingai savo turtinei padėčiai neatsižvelgiant j tai, ar vaiko tėvai (jeigu vaiko tėvystė yra pripažinta) susituokę, gyvena neregistruotoje partnerystėje ar skyrium, tačiau Lietuvoje skyrium gyvenantys tėvai ne visada sąžiningai vykdo konstitucine prievolę – išlaikyti savo vaikus iki pilnametystės, nevykdo ar nevisiškai vykdo su šia prievole susijusius teismo sprendimus. Tokiais atvejais įgyvendinti vaiko teisę gauti geresnį išlaikymą iš tėvų arba iš nesančio vieno iš tėvų padeda valstybė.</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 xml:space="preserve">Siekiant padėti nepilnose šeimose augantiems vaikams gauti teismo priteistą išlaikymą iš savo tėvų, 2006 m. priimtas Lietuvos Respublikos vaikų išlaikymo fondo įstatymas ir įsteigtas Vaikų išlaikymo fondas, kurio tikslas – sudaryti finansines galimybes vaikams, negaunantiems teismo sprendimu arba teismo patvirtinta vaiko (vaikų) išlaikymo sutartimi nustatyto išlaikymo iš savo tėvų, gauti valstybės finansinę paramą tam, kad būtų geriau patenkinami vaiko poreikiai, mažėtų skurdas ir socialinė atskirtis. Vadovaujantis Vaikų išlaikymo fondo įstatymo nuostatomis, nustatyto išlaikymo iš vieno iš tėvų negaunantys vaikai gali gauti iki 1.5 BSI dydžio (57 </w:t>
      </w:r>
      <w:proofErr w:type="spellStart"/>
      <w:r w:rsidRPr="0025634D">
        <w:rPr>
          <w:rFonts w:eastAsia="TimesNewRomanPSMT" w:cs="Times New Roman"/>
          <w:szCs w:val="24"/>
        </w:rPr>
        <w:t>Eur</w:t>
      </w:r>
      <w:proofErr w:type="spellEnd"/>
      <w:r w:rsidRPr="0025634D">
        <w:rPr>
          <w:rFonts w:eastAsia="TimesNewRomanPSMT" w:cs="Times New Roman"/>
          <w:szCs w:val="24"/>
        </w:rPr>
        <w:t>) mėnesinę išmoką iš Vaikų išlaikymo fondo lėšų. ¡statymu Vaikų išlaikymo fondo administratoriui suteikta teisė regreso tvarka iš tėvų, nevykdančių teismo sprendimo ir neteikiančių išlaikymo savo nepilnamečiams vaikams, išieškoti iš Vaikų išlaikymo fondo išmokėtas išmokas su 5 proc. metinėmis palūkanomis. Valstybės perimtas skolos mokėjimas su teise išsireikalauti paskolintus pinigus turi drausminį ir moralinį poveikį vaikų tėvams ir visuomenei, keičiant požiūrį į pareigų, susijusių su vaiko išlaikymu, vykdymą. Šiuo metu Socialinės apsaugos ir darbo ministerija rengia Vaikų išlaikymo fondo įstatymo pakeitimus, kuriais nustatoma tobulesnė iš Vaikų išlaikymo fondo išmokėtų išmokų išieškojimo tvarka.</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ab/>
        <w:t xml:space="preserve">Socialinės apsaugos ir darbo ministerija jau parengė Lietuvos Respublikos vaiko teisių apsaugos pagrindų įstatymo pakeitimo įstatymo projektą ir susijusių įstatymų projektus (toliau – įstatymų projektai), kuriems Lietuvos Respublikos Seimas 2015 m. balandžio 23 d. pritarė ir nutarė pradėti jų svarstymo procedūras Seime, įstatymų projektuose siūloma sukurti prevencinio darbo su socialinę riziką patiriančiomis šeimomis ir jose augančiais vaikais modelį, kad būtų užtikrinta vaikų apsauga nuo bet kokios formos smurto. Siūloma keisti pagalbos šeimai kryptį – iš darbo su pasekmėmis pereiti prie priežasčių šalinimo, teikiant šeimai prevencinę pagalbą ir socialines paslaugas, kad nereikėtų vaikų atskirti nuo tėvų. Siūloma teikti šeimai iki 12 mėnesių prevencinę pagalbą ir paslaugas, kad tėvai patys galėtų auginti savo vaikus, ir nustatyti, kad vaiko </w:t>
      </w:r>
      <w:r w:rsidRPr="0025634D">
        <w:rPr>
          <w:rFonts w:eastAsia="TimesNewRomanPSMT" w:cs="Times New Roman"/>
          <w:szCs w:val="24"/>
        </w:rPr>
        <w:lastRenderedPageBreak/>
        <w:t>paėmimas iš šeimos vyktų tik teismui tam davus leidimą ir išnaudojus visas pagalbos vaikui ir šeimai priemones. Prevenciniam darbui su socialinę riziką patiriančiomis šeimomis nedavus teigiamų rezultatų, siūloma nuo 6 iki 12 mėn. tęsti socialinį darbą su vaiko tėvais. Laiku teikiamu prevenciniu ir intensyviu socialiniu 2 metų darbu nepavykus pakeisti tėvų požiūrio ir elgesio su vaiku, leisti teismui spręsti klausimą dėl vaiko nuolatinės globos (rūpybos) nustatymo, tėvų valdžios ribojimo ar įvaikinimo. Net teismo sprendimu ir atskyrus vaiką nuo tėvų bus siūlomos alternatyvios institucinei vaiko globos sistemai paslaugos vaikui šeimai artimoje aplinkoje: apgyvendinimas pas socialinius globėjus (profesionaliai teikiančius vaikui globos paslaugas, o tėvams - socialines paslaugas) ar artimųjų giminaičių šeimoje arba šeimynoje ir tik išimtiniais atvejais – institucijoje.</w:t>
      </w:r>
    </w:p>
    <w:p w:rsidR="00315BB3" w:rsidRPr="0025634D" w:rsidRDefault="00315BB3" w:rsidP="0025634D">
      <w:pPr>
        <w:autoSpaceDE w:val="0"/>
        <w:autoSpaceDN w:val="0"/>
        <w:adjustRightInd w:val="0"/>
        <w:rPr>
          <w:rFonts w:cs="Times New Roman"/>
          <w:b/>
          <w:bCs/>
          <w:szCs w:val="24"/>
        </w:rPr>
      </w:pPr>
      <w:r w:rsidRPr="0025634D">
        <w:rPr>
          <w:rFonts w:cs="Times New Roman"/>
          <w:b/>
          <w:bCs/>
          <w:szCs w:val="24"/>
        </w:rPr>
        <w:t xml:space="preserve">Dėl daugiavaikių motinų apdovanojimo </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Siekdama stiprinti šeimos institutą ir formuoti teigiamą visuomenės požiūrį į daugiavaikes šeimas, Komisija siūlo tenkinti pareiškėjo peticijoje pateiktą pasiūlymą apdovanoti ordino „Už nuopelnus Lietuvai” medaliu motinas, pagimdžiusias ir užauginusias bei gerai išauklėjusias 5 ir daugiau vaikų.</w:t>
      </w:r>
    </w:p>
    <w:p w:rsidR="00315BB3" w:rsidRPr="0025634D" w:rsidRDefault="00315BB3" w:rsidP="0025634D">
      <w:pPr>
        <w:autoSpaceDE w:val="0"/>
        <w:autoSpaceDN w:val="0"/>
        <w:adjustRightInd w:val="0"/>
        <w:rPr>
          <w:rFonts w:eastAsia="TimesNewRomanPSMT" w:cs="Times New Roman"/>
          <w:b/>
          <w:szCs w:val="24"/>
        </w:rPr>
      </w:pPr>
      <w:r w:rsidRPr="0025634D">
        <w:rPr>
          <w:rFonts w:eastAsia="TimesNewRomanPSMT" w:cs="Times New Roman"/>
          <w:b/>
          <w:szCs w:val="24"/>
        </w:rPr>
        <w:t>Dėl priemonės „Išblaivinti Lietuvą“</w:t>
      </w:r>
    </w:p>
    <w:p w:rsidR="00315BB3" w:rsidRPr="0025634D" w:rsidRDefault="00315BB3" w:rsidP="0025634D">
      <w:pPr>
        <w:autoSpaceDE w:val="0"/>
        <w:autoSpaceDN w:val="0"/>
        <w:adjustRightInd w:val="0"/>
        <w:rPr>
          <w:rFonts w:eastAsia="TimesNewRomanPSMT" w:cs="Times New Roman"/>
          <w:szCs w:val="24"/>
          <w:u w:val="single"/>
        </w:rPr>
      </w:pPr>
      <w:r w:rsidRPr="0025634D">
        <w:rPr>
          <w:rFonts w:eastAsia="TimesNewRomanPSMT" w:cs="Times New Roman"/>
          <w:szCs w:val="24"/>
        </w:rPr>
        <w:t xml:space="preserve">Manytina, kad šiuo metu teisės aktai numato pakankamą medicininę pagalbą alkoholizmu sergantiems asmenims. </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 xml:space="preserve">Asmenų, piktnaudžiaujančių alkoholiu, narkotinėmis, psichotropinėmis ar kitomis psichiką veikiančiomis medžiagomis, asmens sveikatos priežiūrą ir profilaktinį stebėjimą vykdo asmens sveikatos priežiūros įstaigos, kaip nustatyta Lietuvos Respublikos narkologinės priežiūros įstatyme ir Lietuvos Respublikos sveikatos apsaugos ministro 1998 m. rugsėjo 25 d. įsakyme Nr. 544 „Dėl Narkologinės priežiūros įstatymo poįstatyminių teisės aktų tvirtinimo“. </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 xml:space="preserve">Lietuvos Respublikos narkologinės priežiūros įstatymo nuostatos apibrėžia, kad narkologinė priežiūra – tai asmens sveikatos priežiūra, vykdoma pagal Sveikatos apsaugos ministerijos patvirtintus alkoholizmo ir narkomanijos gydymo ir reabilitacijos standartus. Narkologinės priežiūros tikslas – kuo greičiau narkologinius ligonius integruoti į visuomenę organizuojant specializuotą narkologinių ligonių asmens sveikatos priežiūrą, diagnozuojant bei gydant jų sveikatos sutrikimus, vykdant slaugą, taikant psichologinę, medicininę ir socialinę reabilitaciją, teikiant socialines paslaugas ir socialinę globą. Narkologinių ligonių buvimo įskaitoje trukmės kriterijai yra nustatyti Lietuvos Respublikos sveikatos apsaugos ministro 1998 m. rugsėjo 25 d. įsakyme Nr. 544 „Dėl narkologinės priežiūros įstatymo poįstatyminių teisės aktų tvirtinimo“.  </w:t>
      </w:r>
    </w:p>
    <w:p w:rsidR="00315BB3" w:rsidRPr="0025634D" w:rsidRDefault="00315BB3" w:rsidP="0025634D">
      <w:pPr>
        <w:autoSpaceDE w:val="0"/>
        <w:autoSpaceDN w:val="0"/>
        <w:adjustRightInd w:val="0"/>
        <w:rPr>
          <w:rFonts w:eastAsia="TimesNewRomanPSMT" w:cs="Times New Roman"/>
          <w:b/>
          <w:szCs w:val="24"/>
        </w:rPr>
      </w:pPr>
      <w:r w:rsidRPr="0025634D">
        <w:rPr>
          <w:rFonts w:eastAsia="TimesNewRomanPSMT" w:cs="Times New Roman"/>
          <w:szCs w:val="24"/>
        </w:rPr>
        <w:t xml:space="preserve">Valstybinis psichikos sveikatos centras, teisės aktų nustatyta tvarka vykdydamas asmenų, kurie kreipiasi į asmens sveikatos priežiūros įstaigas dėl psichikos ir ilgesio sutrikimų, epidemiologinę psichikos ir elgesio sutrikimų </w:t>
      </w:r>
      <w:proofErr w:type="spellStart"/>
      <w:r w:rsidRPr="0025634D">
        <w:rPr>
          <w:rFonts w:eastAsia="TimesNewRomanPSMT" w:cs="Times New Roman"/>
          <w:szCs w:val="24"/>
        </w:rPr>
        <w:t>stebėseną</w:t>
      </w:r>
      <w:proofErr w:type="spellEnd"/>
      <w:r w:rsidRPr="0025634D">
        <w:rPr>
          <w:rFonts w:eastAsia="TimesNewRomanPSMT" w:cs="Times New Roman"/>
          <w:szCs w:val="24"/>
        </w:rPr>
        <w:t xml:space="preserve">, iš asmens sveikatos priežiūros įstaigų </w:t>
      </w:r>
      <w:r w:rsidRPr="0025634D">
        <w:rPr>
          <w:rFonts w:eastAsia="TimesNewRomanPSMT" w:cs="Times New Roman"/>
          <w:szCs w:val="24"/>
        </w:rPr>
        <w:lastRenderedPageBreak/>
        <w:t>renka ir analizuoja duomenis apie gyventojų psichikos ir elgesio sutrikimų paplitimą, taip pat ir apie psichikos ir elgesio sutrikimus vartojant alkoholį. Tyrimų duomenys rodo, kad tik maža dalis asmenų, kuriems reikalinga pagalba dėl piktnaudžiavimo alkoholiu, kreipiasi dėl gydymo.</w:t>
      </w:r>
      <w:r w:rsidRPr="0025634D">
        <w:rPr>
          <w:rFonts w:eastAsia="TimesNewRomanPSMT" w:cs="Times New Roman"/>
          <w:b/>
          <w:szCs w:val="24"/>
        </w:rPr>
        <w:t xml:space="preserve"> </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 xml:space="preserve">Šiuo metu Lietuvos Respublikos alkoholio kontrolės įstatymo 29 straipsnyje nustatyti tam tikri alkoholio reklamos draudimai. Lietuvos Respublikoje draudžiama visų formų alkoholio reklama, skirta vaikams ir paaugliams iki 18 metų; kurioje dalyvauja asmenys iki 18 metų, sportininkai, gydytojai, politikai, meno ir mokslo įžymybės, kiti garsūs visuomenės veikėjai, naudojamas jų asmuo, vardas, atvaizdas ir pan. Draudžiama alkoholio reklama, siejanti alkoholio vartojimą su fizinės būklės ar su psichinės veiklos pagerėjimu, asmeninių problemų sprendimu, siejanti alkoholio vartojimą su vairavimu arba palankiai vaizduojanti nesaikingą alkoholinių gėrimų vartojimą ar neigiamai atsiliepianti apie abstinenciją ir saikingumą ir pan. Taip pat alkoholio reklama draudžiama vaikams ir paaugliams skirtuose laikraščiuose, žurnaluose, knygose, televizijos ir radijo programose ar laikraščių ir jų savarankiškų priedų, žurnalų bei knygų išorinėse viršelių pusėse; Lietuvos Respublikos jurisdikcijai priklausančių transliuotojų ir </w:t>
      </w:r>
      <w:proofErr w:type="spellStart"/>
      <w:r w:rsidRPr="0025634D">
        <w:rPr>
          <w:rFonts w:eastAsia="TimesNewRomanPSMT" w:cs="Times New Roman"/>
          <w:szCs w:val="24"/>
        </w:rPr>
        <w:t>retransliuotojų</w:t>
      </w:r>
      <w:proofErr w:type="spellEnd"/>
      <w:r w:rsidRPr="0025634D">
        <w:rPr>
          <w:rFonts w:eastAsia="TimesNewRomanPSMT" w:cs="Times New Roman"/>
          <w:szCs w:val="24"/>
        </w:rPr>
        <w:t xml:space="preserve"> transliuojamose programose nuo 6 valandos iki 23 valandos (išskyrus tiesiogiai ir ištisai transliuojamus ar retransliuojamus tarptautinius meno, kultūros ar sporto renginius); koncertų, cirko, diskotekų, jaunimo sporto ir laisvalaikio renginių, kitų masinių renginių, teatro spektaklių, kino ir videofilmų demonstravimo vietose, išskyrus šių renginių vietose esančias prekybos vietas; švietimo, mokslo ir ugdymo bei visose sveikatos priežiūros įstaigose; visuomeninio transporto priemonių viduje ir išorėje; degalinėse ir jų teritorijose, išskyrus jose esančias alkoholinių gėrimų prekybos vietas; ant atvirlaiškių, vokų ir pašto ženklų.</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Siekiant mažinti alkoholio reklamos įtaką nepilnamečiams, skatinti juos pasirinkti gyventi be alkoholio, Lietuvos Respublikos Vyriausybės 2015 m. vasario 11 d. nutarimu Nr. 143 „Dėl Lietuvos Respublikos alkoholio kontrolės įstatymo Nr. 1-857 29 straipsnio pakeitimo įstatymo projekto pateikimo Lietuvos Respublikos Seimui“ Seimui yra pateiktas Lietuvos Respublikos alkoholio kontrolės įstatymo 29 straipsnio pakeitimo įstatymo projektas, kuriuo draudžiama išorinė alaus, alaus mišinių su nealkoholiniais gėrimais bei natūralios fermentacijos vyno ir sidro reklama.</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Lietuvos Respublikos Seime užregistruotas Lietuvos Respublikos alkoholio kontrolės  įstatymo 18 ir 22 straipsnių pakeitimo įstatymo projektas Nr. XIIP-978, kuriuo siekiama mažinti alkoholinių gėrimų prieinamumą ir vartojimą tarp vaikų ir jaunimo bei su tuo susijusią bendrą alkoholio vartojimo sąlygojamą žalą. t. y. siūloma drausti parduoti alkoholinius gėrimus, kurių tūrinė etilo alkoholio koncentracija viršija 15 procentų, asmenims, jaunesniems kaip 20 metų, o įmonės, Europos juridiniai asmenys ir jų filialai, vykdantys viešojo maitinimo veiklą, privalėtų užtikrinti, kad prekybos alkoholiniais gėrimais vietose asmenys iki 20 metų nevartotų alkoholinių gėrimų, kurių etilo alkoholio koncentracija viršija 15 procentų.</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lastRenderedPageBreak/>
        <w:t>2014 m. birželio 26 d. Lietuvos Respublikos Seimas patvirtino Lietuvos sveikatos 2014- 2025 metų programą, kurioje numatyta mažinti alkoholinių gėrimų prieinamumą ir vartojimą, sumažinti leidžiamą alkoholio koncentraciją kraujyje vairuotojams. Lietuvos sveikatos 2014-2025  metų programai įgyvendinti rengiama Visuomenės sveikatos priežiūros strategija.</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Šiuo metu parengtas ir Lietuvos Respublikos Seimui pateiktas Lietuvos Respublikos Seimo nutarimo „Dėl Valstybinės 2015-2025 metų narkotikų, tabako ir alkoholio kontrolės ir vartojimo prevencijos programos patvirtinimo“ projektas, kurio tikslas – sustiprinti Lietuvos gyventojų saugumą ir sveikatą, mažinant narkotikų, tabako ir alkoholio vartojimą, jų pasiūlą bei paklausą. Siekiant šio tikslo numatytas uždavinys - tobulinti teisinį reglamentavimą (griežtinti teisės aktais  nustatytas veiklos, susijusios su teisėta tabako gaminių ir alkoholio produktų apyvarta, ribojimo ir  priežiūros priemones, nustatyti ir šalinti teisinio reguliavimo ir teisės taikymo problemas).</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Asmenims, vartojantiems psichiką veikiančias medžiagas, pirminės sveikatos priežiūros paslaugas teikia psichikos sveikatos centrai. Specializuotas asmens sveikatos priežiūros paslaugas  asmenims, sergantiems priklausomybių ligomis, teikia Vilniaus, Kauno, Klaipėdos, Šiaulių ir Panevėžio priklausomybės ligų centrai, kuriuose yra prieinamas stacionarinis alkoholinės abstinencijos gydymas, taip pat ir ambulatorinis gydymas bei psichosocialinė pagalba. Ūmios psichiatrijos skyriai teikia būtinąją medicinos pagalbą susirgusiems alkoholinėmis ar kitų psichoaktyviųjų medžiagų sukeltomis psichozėmis arba esant sunkioms abstinencijos būklėms. Lietuvos Respublikoje yra sukurta sistema, siekiant medicininės ir socialinės pagalbos asmenims. sergantiems priklausomybės ligomis (taip pat ir priklausomiems nuo alkoholio). Peticijoje siūlomos priemonės – informacinės, psichologinės, medicininės ir kitokios pagalbos teikimas alkoholizmo liga sergantiems asmenims ir medicininės bei psichologinės pagalbos centrų kūrimas – betarpiškai susiję su jau sukurta sistema, kuri nuolatos atsakingų institucijų pagal kompetenciją tobulinama. Pradėjus j gyvendinti Europos Sąjungos fondų lėšomis finansuojamus projektus, Lietuvoje užtikrintas trumpalaikės socialinės globos paslaugų teikimas socialinės rizikos asmenims, priklausomiems nuo narkotikų ir alkoholio vartojimo. Minėtas paslaugas 2014 m. teikė 22 psichologinės ir socialinės reabilitacijos bendruomenės. Nuo 2015 m., siekiant pagerinti trumpalaikės socialinės globos paslaugų kokybę socialinės rizikos asmenims, priklausomiems nuo narkotikų, tabako ir alkoholio vartojimo, minėtas paslaugas galės teikti tik licencijas turinčios psichologinės ir socialinės reabilitacijos įstaigos.</w:t>
      </w:r>
    </w:p>
    <w:p w:rsidR="00315BB3" w:rsidRPr="0025634D" w:rsidRDefault="00315BB3" w:rsidP="0025634D">
      <w:pPr>
        <w:autoSpaceDE w:val="0"/>
        <w:autoSpaceDN w:val="0"/>
        <w:adjustRightInd w:val="0"/>
        <w:rPr>
          <w:rFonts w:eastAsia="TimesNewRomanPSMT" w:cs="Times New Roman"/>
          <w:b/>
          <w:szCs w:val="24"/>
        </w:rPr>
      </w:pPr>
      <w:r w:rsidRPr="0025634D">
        <w:rPr>
          <w:rFonts w:eastAsia="TimesNewRomanPSMT" w:cs="Times New Roman"/>
          <w:b/>
          <w:szCs w:val="24"/>
        </w:rPr>
        <w:t>Dėl priemonės „Sveikas gyvenimo būdas“</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Manytina, kad įstatyminė bazė sveikatos stiprinimui vykdyti yra pakankama.</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 xml:space="preserve">Lietuvos Respublikos alkoholio kontrolės įstatymo 23 straipsnio nuostatos dėl visuomenės informavimo apie alkoholį, jo vartojimo daromą žalą sveikatai ir ūkiui numato, kad Švietimo ir mokslo ministerija privalo parengti sveikatos ugdymo visose bendrojo lavinimo mokyklose bei </w:t>
      </w:r>
      <w:r w:rsidRPr="0025634D">
        <w:rPr>
          <w:rFonts w:eastAsia="TimesNewRomanPSMT" w:cs="Times New Roman"/>
          <w:szCs w:val="24"/>
        </w:rPr>
        <w:lastRenderedPageBreak/>
        <w:t>kitose švietimo įstaigose programas ir įtraukti sveikatos ugdymo klausimus į naujai leidžiamus vadovėlius. Šiame straipsnyje taip pat numatyta, kad švietimo įstaigos, suderinusios su Sveikatos apsaugos ministerija, privalo į ugdymo programas įtraukti informaciją apie alkoholinius gėrimus, jų daromą žalą sveikatai ir ūkiui, taip pat sveikatai palankios aplinkos, užkertančios kelią alkoholio vartojimo daromai žalai, kūrimą bei sveikos gyvensenos puoselėjimą. Šio straipsnio 3 dalyje nurodyta, kad Lietuvos nacionalinio radijo ir televizijos laidose ne rečiau kaip du kartus per savaitę ir ne mažiau kaip po 5 minutes nuo 18 valandos iki 22 valandų 30 minučių turi būti transliuojamos laidos, propaguojančios blaivų gyvenimo būdą ir informuojančios apie alkoholio vartojimo daromą žalą.</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Lietuvos Respublikos švietimo ir mokslo ministro 2012 m. rugpjūčio 31 d. įsakymu Nr. V- 1290 „Dėl Sveikatos ugdymo bendrosios programos patvirtinimo“ patvirtintoje Sveikatos ugdymo bendrojoje programoje numatytas tikslas „padėti mokiniams įgyti visuminę sveikatos sampratą, išsiugdyti sveikatai naudingus gebėjimus, įpročius bei nuostatas, atsakomybę už savo ir kitų sveikatą, paskatinti juos rinktis sveiką gyvenimo būdą“. Atskiroms mokinių amžiaus grupėms parengtos Gyvenimo įgūdžių ugdymo programos, įgyvendinama Alkoholio, tabako ir kitų psichiką veikiančių medžiagų vartojimo prevencijos programa.</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Lietuvos Respublikos visuomenės sveikatos priežiūros įstatymo 5 skyriuje apibrėžiamos visuomenės sveikatos stiprinimo, sveikatos žinių populiarinimo nuostatos. Sistemingai didinama visuomenės sveikatos paslaugų įvairovė ir prieinamumas savivaldybėse. Siekiant gerinti visuomenės sveikatos priežiūrą, savivaldybėse įsteigti visuomenės sveikatos biurai.</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 xml:space="preserve"> </w:t>
      </w:r>
    </w:p>
    <w:p w:rsidR="00315BB3" w:rsidRPr="0025634D" w:rsidRDefault="00315BB3" w:rsidP="0025634D">
      <w:pPr>
        <w:rPr>
          <w:rFonts w:eastAsia="TimesNewRomanPSMT" w:cs="Times New Roman"/>
          <w:b/>
          <w:szCs w:val="24"/>
        </w:rPr>
      </w:pPr>
      <w:r w:rsidRPr="0025634D">
        <w:rPr>
          <w:rFonts w:eastAsia="TimesNewRomanPSMT" w:cs="Times New Roman"/>
          <w:b/>
          <w:szCs w:val="24"/>
        </w:rPr>
        <w:t xml:space="preserve">Dėl siūlymo panaikinti vaikų patyčias mokykloje, sugrąžinti moralę (dorovę) į Lietuvos gyvenimą </w:t>
      </w:r>
    </w:p>
    <w:p w:rsidR="00315BB3" w:rsidRPr="0025634D" w:rsidRDefault="00315BB3" w:rsidP="0025634D">
      <w:pPr>
        <w:rPr>
          <w:rFonts w:eastAsia="TimesNewRomanPSMT" w:cs="Times New Roman"/>
          <w:szCs w:val="24"/>
        </w:rPr>
      </w:pPr>
      <w:r w:rsidRPr="0025634D">
        <w:rPr>
          <w:rFonts w:eastAsia="TimesNewRomanPSMT" w:cs="Times New Roman"/>
          <w:szCs w:val="24"/>
        </w:rPr>
        <w:t>Komisija mano, kad pareiškėjo siūlymas keisti Lietuvos Respublikos švietimo įstatymą yra atmestinas, nes reglamentavimas yra pakankamas.</w:t>
      </w:r>
    </w:p>
    <w:p w:rsidR="00315BB3" w:rsidRPr="0025634D" w:rsidRDefault="00315BB3" w:rsidP="0025634D">
      <w:pPr>
        <w:rPr>
          <w:rFonts w:eastAsia="TimesNewRomanPSMT" w:cs="Times New Roman"/>
          <w:szCs w:val="24"/>
        </w:rPr>
      </w:pPr>
      <w:r w:rsidRPr="0025634D">
        <w:rPr>
          <w:rFonts w:eastAsia="TimesNewRomanPSMT" w:cs="Times New Roman"/>
          <w:szCs w:val="24"/>
        </w:rPr>
        <w:t xml:space="preserve">Siekis panaikinti vaikų patyčias mokykloje, sugrąžinti moralę (dorovę) į Lietuvos gyvenimą yra vienas iš prioritetinių 16-osios Vyriausybės programos tikslų. </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 xml:space="preserve">Lietuvos Respublikos švietimo įstatymo (toliau – Įstatymas) 3 straipsnio „Švietimo tikslai“ 1 punkte jau yra įteisinti tikslai išugdyti kiekvienam asmeniui vertybines orientacijas, leidžiančias tapti doru, siekiančiu žinių, savarankišku, atsakingu, patriotiškai nusiteikusiu žmogumi. Įstatymo 4 straipsnio „Ugdymo turinys“ 2 dalyje nustatyta, kad konkretus ugdymo turinys kuriamas ir sistemingai atnaujinamas, atsižvelgiant į atitinkamos grupės ar tipo mokyklai keliamus ugdymo tikslus, besikeičiančios socialinės ir kultūrinės aplinkos lemiamus Lietuvos visuomenės poreikius, vietos ir mokyklos bendruomenės reikmes, taip pat mokinių patirtį, ugdymosi poreikius ir interesus. </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lastRenderedPageBreak/>
        <w:t>Įstatymo 47 straipsnio „Tėvų (globėjų, rūpintojų) teisės ir pareigos“ 2 dalyje nustatyta, kad vaiko tėvai yra įpareigoti ugdyti vaiko vertybines orientacijas, kontroliuoti ir koreguoti jo elgesį, sudaryti sveikas ir saugias gyvenimo sąlygas. Šio įstatymo 49 straipsnio „Mokytojo teisės ir pareigos“ 2 dalyje yra nurodytos ir mokytojų pareigos – mokytojas privalo užtikrinti mokinių saugumą ir stebėti, kad mokykloje nebūtų patyčių. Švietimo įstatymo 46 straipsnio „Mokinio teisės ir pareigos“ 1 dalies 7 punkte nurodoma, kad mokinys turi teisę mokytis tarpusavio pagarba grįstoje, psichologiškai, dvasiškai ir fiziškai saugioje aplinkoje.</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Įstatymo 43 straipsnio „Mokyklos veikla“ 11 punkte nurodoma, kad mokykla privalo užtikrinti sveiką, saugią, užkertančią kelią smurto, prievartos apraiškoms ir žalingiems įpročiams aplinką, ugdymo, mokymo, studijų, švietimo programų vykdymą, atvirumą vietos bendruomenei, mokymo sutarties sudarymą ir sutartų įsipareigojimų vykdymą, geros kokybės švietimą, o šio straipsnio 12 dalyje nustatyta, kad saugios ir palankios aplinkos kūrimu mokyklose rūpinasi Vaiko gerovės komisija, kuri organizuoja ir koordinuoja švietimo programų pritaikymą mokiniams, turintiems specialiųjų ugdymosi poreikių, švietimo pagalbos teikimą ir atlieka kitas su vaiko gerove susijusias funkcijas.</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Šio įstatymo 59 straipsnio „Švietimo įstaigos vadovo skyrimas ir jo įgaliojimai“ 5 dalies 3 punkte įteisinta, kad švietimo įstaigos vadovas užtikrina sveiką, saugią, užkertančią kelią bet kokioms smurto, prievartos apraiškoms ir žalingiems įpročiams aplinką.</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Įstatymo 26 straipsnio „Informavimas apie švietimą“ 2 dalyje teigiama, kad mokykla informaciją apie mokyklose vykdomas formaliojo ir neformaliojo švietimo programas Jų pasirinkimo galimybes, priėmimo sąlygas, mokamas paslaugas, mokytojų kvalifikaciją, svarbiausius mokyklos išorinio vertinimo rezultatus, mokyklos bendruomenės tradicijas ir pasiekimus skelbia viešai.</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Švietimo ir mokslo ministro yra sudaryta darbo grupė iš sveikatos apsaugos, socialinės apsaugos ir darbo, vidaus reikalų, teisingumo ir švietimo ir mokslo viceministrų, taip pat darbo grupėje dalyvauja vaiko teisių apsaugos kontrolierius, Lietuvos savivaldybių asociacijos ir kt. specialistai, kurių tikslas - parengti priemones dėl vaikų socializacijos centrų (toliau – centrai) veiklų organizavimo tobulinimo ir kokybės užtikrinimo.</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2015 m. kovo 10 d. Lietuvos Respublikos švietimo ir mokslo ministro įsakymu Nr. V-196 sudaryta darbo grupė dėl Vaiko minimalios ir vidutinės priežiūros įstatymo pakeitimo projekto (toliau – Įstatymo projektas) parengimo. Šiame Įstatymo projekte numatytas kuratoriaus pareigybės įvedimas savivaldybėse, vaiko atstovų pagal įstatymą pareigų, savivaldybės administracijos Vaiko gerovės komisijos funkcijų papildymas, siejant su vaiko vidutinės priežiūros vykdymu, ir vaiko integracija bendruomenėje grįžus iš vaikų socializacijos centro.</w:t>
      </w:r>
    </w:p>
    <w:p w:rsidR="00315BB3" w:rsidRPr="0025634D" w:rsidRDefault="00315BB3" w:rsidP="0025634D">
      <w:pPr>
        <w:autoSpaceDE w:val="0"/>
        <w:autoSpaceDN w:val="0"/>
        <w:adjustRightInd w:val="0"/>
        <w:rPr>
          <w:rFonts w:cs="Times New Roman"/>
          <w:b/>
          <w:szCs w:val="24"/>
        </w:rPr>
      </w:pPr>
      <w:r w:rsidRPr="0025634D">
        <w:rPr>
          <w:rFonts w:cs="Times New Roman"/>
          <w:b/>
          <w:szCs w:val="24"/>
        </w:rPr>
        <w:t>Dėl emigracijos stabdymo, imigracijos skatinimo</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lastRenderedPageBreak/>
        <w:t xml:space="preserve">Manytina, kad kurti peticijoje siūlomą emigrantų ir imigrantų registrą nėra tikslinga. </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 xml:space="preserve">Lietuvos Respublikos gyventojų registre tvarkomi visų Lietuvos Respublikos piliečių, nepriklausomai nuo jų gyvenamosios vietos, duomenys (tarp jų – emigravusių ir </w:t>
      </w:r>
      <w:proofErr w:type="spellStart"/>
      <w:r w:rsidRPr="0025634D">
        <w:rPr>
          <w:rFonts w:eastAsia="TimesNewRomanPSMT" w:cs="Times New Roman"/>
          <w:szCs w:val="24"/>
        </w:rPr>
        <w:t>reemigravusių</w:t>
      </w:r>
      <w:proofErr w:type="spellEnd"/>
      <w:r w:rsidRPr="0025634D">
        <w:rPr>
          <w:rFonts w:eastAsia="TimesNewRomanPSMT" w:cs="Times New Roman"/>
          <w:szCs w:val="24"/>
        </w:rPr>
        <w:t xml:space="preserve">), taip pat asmenų be pilietybės ir kitų valstybių piliečių, deklaruojančių gyvenamąją vietą Lietuvoje ar registruojančių asmens civilinės būklės pasikeitimus Lietuvos Respublikos institucijose, duomenys (Gyventojų registro įstatymo 5 straipsnis). Be kitų duomenų, šiame registre tvarkomi duomenys apie asmenų gyvenamąją vietą, atvykimo į gyvenamąją vietą data (jeigu išvyksta gyventi į užsienį – išvykimo vieta (valstybė) ir išvykimo data; jeigu nuolat gyvena užsienyje – valstybė). Tuo tarpu, užsieniečių, kurių teisinė padėtis Lietuvos Respublikoje nustatoma pagal įstatymą „Dėl užsieniečių teisinės padėties“ ir kitus Lietuvos Respublikos įstatymus, Europos Sąjungos teisės aktus ir tarptautines sutartis, duomenys yra tvarkomi Užsieniečių registre. Kartu atkreiptinas dėmesys, kad pagal Lietuvos Respublikos informacinių išteklių valdymo įstatymo 15 straipsnio 4 dalį, registre įregistruotas registro objektas pakartotinai kituose registruose neregistruojamas. </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 xml:space="preserve">Kartu pažymėtina, kad įgyvendindama „Globalios Lietuvos“ – užsienio lietuvių įsitraukimo į valstybės gyvenimą – kūrimo 2011-2019 metų programą, patvirtintą Lietuvos Respublikos Vyriausybės 2011 m. kovo 30 d. nutarimu Nr. 389, Lietuvos Respublikos Vyriausybė patvirtino „Globalios Lietuvos“ – užsienio lietuvių įsitraukimo į valstybės gyvenimą – kūrimo 2011-2019 metų programos įgyvendinimo tarp institucinį veiklos planą, kurio įgyvendinimą koordinuoja Užsienio reikalų ministerija. Planas parengtas siekiant įgyvendinti „Globalios Lietuvos“ idėją, įtvirtinančią abipusį partneryste ir pagarba grįstą Lietuvos valstybės ir jos diasporos bendradarbiavimą telkiančią užsienio lietuvius valstybei stiprinti ir jos vardui garsinti, skatinančią juos įsitraukti į valstybės gyvenimą, puoselėti lietuvių kalbą, lietuvių tautinį tapatumą, stiprinti jų tarpusavio ryšius ir politinius, pilietinius, ekonominius, kultūrinius ryšius su Lietuva. </w:t>
      </w:r>
    </w:p>
    <w:p w:rsidR="00315BB3" w:rsidRPr="0025634D" w:rsidRDefault="00315BB3" w:rsidP="0025634D">
      <w:pPr>
        <w:autoSpaceDE w:val="0"/>
        <w:autoSpaceDN w:val="0"/>
        <w:adjustRightInd w:val="0"/>
        <w:rPr>
          <w:rFonts w:eastAsia="TimesNewRomanPSMT" w:cs="Times New Roman"/>
          <w:szCs w:val="24"/>
        </w:rPr>
      </w:pPr>
      <w:r w:rsidRPr="0025634D">
        <w:rPr>
          <w:rFonts w:eastAsia="TimesNewRomanPSMT" w:cs="Times New Roman"/>
          <w:szCs w:val="24"/>
        </w:rPr>
        <w:t>Nuo 2015 m. sausio mėnesio veiklą pradėjo Tarptautinės migracijos organizacijos Vilniaus biuro Migracijos informacijos centras, kurio darbuotojai vieno langelio principu teikia konsultacijas visiems Lietuvos Respublikos piliečiams, grįžusiems gyventi į Lietuvos Respubliką (reemigrantams) arba apie grįžimą galvojantiems emigrantams. Migracijos informacijos centras teikia konsultacinę pagalbą darbo, švietimo, sveikatos apsaugos, šeimos narių užsieniečių integracijos ir kitais su grįžimu susijusiais klausimais. Taip pat kuriamas internetinis puslapis, kuriame bus skelbiama įvairi su grįžimu į Lietuvą ir gyvenimu Lietuvoje susijusi informacija.</w:t>
      </w:r>
    </w:p>
    <w:p w:rsidR="006D195F" w:rsidRPr="0025634D" w:rsidRDefault="00315BB3" w:rsidP="0025634D">
      <w:pPr>
        <w:rPr>
          <w:rFonts w:cs="Times New Roman"/>
          <w:bCs/>
          <w:szCs w:val="24"/>
        </w:rPr>
      </w:pPr>
      <w:r w:rsidRPr="0025634D">
        <w:rPr>
          <w:rFonts w:cs="Times New Roman"/>
          <w:szCs w:val="24"/>
        </w:rPr>
        <w:t>Trečiuoju klausimu buvo priimtas sprendimas atmesti</w:t>
      </w:r>
      <w:r w:rsidR="006D195F" w:rsidRPr="0025634D">
        <w:rPr>
          <w:rFonts w:cs="Times New Roman"/>
          <w:szCs w:val="24"/>
        </w:rPr>
        <w:t xml:space="preserve"> </w:t>
      </w:r>
      <w:proofErr w:type="spellStart"/>
      <w:r w:rsidR="006D195F" w:rsidRPr="0025634D">
        <w:rPr>
          <w:rFonts w:cs="Times New Roman"/>
          <w:szCs w:val="24"/>
        </w:rPr>
        <w:t>Česlavos</w:t>
      </w:r>
      <w:proofErr w:type="spellEnd"/>
      <w:r w:rsidR="006D195F" w:rsidRPr="0025634D">
        <w:rPr>
          <w:rFonts w:cs="Times New Roman"/>
          <w:szCs w:val="24"/>
        </w:rPr>
        <w:t xml:space="preserve"> </w:t>
      </w:r>
      <w:proofErr w:type="spellStart"/>
      <w:r w:rsidR="006D195F" w:rsidRPr="0025634D">
        <w:rPr>
          <w:rFonts w:cs="Times New Roman"/>
          <w:szCs w:val="24"/>
        </w:rPr>
        <w:t>Maculevičiūtės</w:t>
      </w:r>
      <w:proofErr w:type="spellEnd"/>
      <w:r w:rsidR="006D195F" w:rsidRPr="0025634D">
        <w:rPr>
          <w:rFonts w:cs="Times New Roman"/>
          <w:szCs w:val="24"/>
        </w:rPr>
        <w:t xml:space="preserve"> peticijoje „Dėl mokesčių už liftą daugiabučiuose namuose“ pateiktą pasiūlymą „traktuoti liftą kitaip, negu kitus bendro naudojimo objektus, akcentuojant pirmo aukšto mokėjimų už liftą kaupimą ir gaunamos iš jo naudos neturėjimą“, „ rasti pirmų aukštų butų savininkams visų mokėjimų už liftą panaikinimo galimybę, darant pataisas teisės aktuose“. </w:t>
      </w:r>
    </w:p>
    <w:p w:rsidR="006D195F" w:rsidRPr="0025634D" w:rsidRDefault="006D195F" w:rsidP="0025634D">
      <w:pPr>
        <w:rPr>
          <w:rFonts w:eastAsia="TimesNewRomanPSMT" w:cs="Times New Roman"/>
          <w:szCs w:val="24"/>
        </w:rPr>
      </w:pPr>
      <w:r w:rsidRPr="0025634D">
        <w:rPr>
          <w:rFonts w:cs="Times New Roman"/>
          <w:color w:val="000000"/>
          <w:szCs w:val="24"/>
        </w:rPr>
        <w:lastRenderedPageBreak/>
        <w:t xml:space="preserve">Komisija šį sprendimą priėmė, atsižvelgusi į Lietuvos Respublikos teisingumo ministerijos Lietuvos Respublikos </w:t>
      </w:r>
      <w:r w:rsidRPr="0025634D">
        <w:rPr>
          <w:rFonts w:cs="Times New Roman"/>
          <w:szCs w:val="24"/>
        </w:rPr>
        <w:t>Aplinkos ministerijos ir Vilniaus miesto savivaldybės administracijos Aplinkos ir energetikos departamento Būsto renovavimo skyriaus</w:t>
      </w:r>
      <w:r w:rsidRPr="0025634D">
        <w:rPr>
          <w:rFonts w:cs="Times New Roman"/>
          <w:color w:val="000000"/>
          <w:szCs w:val="24"/>
        </w:rPr>
        <w:t xml:space="preserve"> pateiktas nuomones, taip pat manydama, kad </w:t>
      </w:r>
      <w:r w:rsidRPr="0025634D">
        <w:rPr>
          <w:rFonts w:eastAsia="TimesNewRomanPSMT" w:cs="Times New Roman"/>
          <w:szCs w:val="24"/>
        </w:rPr>
        <w:t xml:space="preserve">esamas teisinis reguliavimas yra pakankamas, todėl būtų netikslinga keisti Lietuvos Respublikos civilinį kodeksą ar kitus teisės aktus, išskiriant tam tikrą bendrojo naudojimo objektą iš kitų ar atskiriant butų ir kitų patalpų savininkų išlaidas, susijusias su bendrojo naudojimo objektų išlaikymu ar saugojimu, ir išlaidas, susijusias su bendrojo naudojimo objektų naudojimu, nes namo bendrojo naudojimo objektų išlaikymas pagrįstas ne jų faktiniu naudojimu, o bendrąja nuosavybe ir visų bendrasavininkių prievole šią nuosavybę išlaikyti. Pagal bendrąją taisyklę </w:t>
      </w:r>
      <w:proofErr w:type="spellStart"/>
      <w:r w:rsidRPr="0025634D">
        <w:rPr>
          <w:rFonts w:eastAsia="TimesNewRomanPSMT" w:cs="Times New Roman"/>
          <w:szCs w:val="24"/>
        </w:rPr>
        <w:t>bendraturtis</w:t>
      </w:r>
      <w:proofErr w:type="spellEnd"/>
      <w:r w:rsidRPr="0025634D">
        <w:rPr>
          <w:rFonts w:eastAsia="TimesNewRomanPSMT" w:cs="Times New Roman"/>
          <w:szCs w:val="24"/>
        </w:rPr>
        <w:t xml:space="preserve"> privalo proporcingai prisidėti prie visų išlaidų, skirtų namui bei bendrosios dalinės nuosavybės objektams išlaikyti, išsaugoti, atnaujinti, ir būtiniems pagerinimams atlikti. Šiai taisyklei taikyti yra teisiškai nereikšminga atitinkamų bendrosios dalinės nuosavybės objektų, dėl kurių daromos nurodytos išlaidos, funkcinė paskirtis, taip pat bendraturčio, kuriam ji taikytina, naudojimosi ar nesinaudojimo tais objektais aplinkybės (dažnumas, intensyvumas). </w:t>
      </w:r>
    </w:p>
    <w:p w:rsidR="006D195F" w:rsidRPr="0025634D" w:rsidRDefault="006D195F" w:rsidP="0025634D">
      <w:pPr>
        <w:autoSpaceDE w:val="0"/>
        <w:autoSpaceDN w:val="0"/>
        <w:adjustRightInd w:val="0"/>
        <w:rPr>
          <w:rFonts w:eastAsia="TimesNewRomanPSMT" w:cs="Times New Roman"/>
          <w:szCs w:val="24"/>
        </w:rPr>
      </w:pPr>
      <w:r w:rsidRPr="0025634D">
        <w:rPr>
          <w:rFonts w:eastAsia="TimesNewRomanPSMT" w:cs="Times New Roman"/>
          <w:szCs w:val="24"/>
        </w:rPr>
        <w:t>Sprendžiant ginčus dėl bendraturčių nuosavybės teisės įgyvendinimo, jų interesai turi būti įvertinti nuosavybės neliečiamumo ir apsaugos kontekste, pasveriant, ar vieno bendraturčio interesų prioriteto pripažinimas ir jo reikalavimų tenkinimas nesukels esminio kito bendraturčio nuosavybės teisės pažeidimo ar net netekimo. Be to, nuosavybės neliečiamumo principas turi būti taikomas derinant jį su kitais civilinės teisės principais, įtvirtintais Civilinio kodekso 1.2 straipsnio 1 dalyje: civilinių santykių subjektų lygiateisiškumo, teisinio apibrėžtumo, neleistinumo piktnaudžiauti teise, visokeriopos civilinių teisių teisinės gynybos.</w:t>
      </w:r>
    </w:p>
    <w:p w:rsidR="006D195F" w:rsidRPr="0025634D" w:rsidRDefault="006D195F" w:rsidP="0025634D">
      <w:pPr>
        <w:tabs>
          <w:tab w:val="left" w:pos="142"/>
        </w:tabs>
        <w:autoSpaceDE w:val="0"/>
        <w:autoSpaceDN w:val="0"/>
        <w:adjustRightInd w:val="0"/>
        <w:rPr>
          <w:rFonts w:eastAsia="TimesNewRomanPSMT" w:cs="Times New Roman"/>
          <w:szCs w:val="24"/>
        </w:rPr>
      </w:pPr>
      <w:r w:rsidRPr="0025634D">
        <w:rPr>
          <w:rFonts w:eastAsia="TimesNewRomanPSMT" w:cs="Times New Roman"/>
          <w:szCs w:val="24"/>
        </w:rPr>
        <w:t xml:space="preserve">Lietuvos Aukščiausiasis Teismas, formuodamas vienodą teisės aiškinimo ir taikymo praktiką bendrosios dalinės nuosavybės valdymo srityje, 2007 m. lapkričio 26 d. nutartyje, priimtoje civilinėje byloje Nr. 3K-3-579/2003, yra konstatavęs, kad buto savininkas kartu yra ir bendrosios dalinės nuosavybės teisės subjektas, todėl pagal daiktinės teisės normas privalo padengti išlaidas, susijusias su bendrosios dalinės nuosavybės eksploatavimu, kad buto savininkas, kaip daugiabučio namo </w:t>
      </w:r>
      <w:proofErr w:type="spellStart"/>
      <w:r w:rsidRPr="0025634D">
        <w:rPr>
          <w:rFonts w:eastAsia="TimesNewRomanPSMT" w:cs="Times New Roman"/>
          <w:szCs w:val="24"/>
        </w:rPr>
        <w:t>bendraturtis</w:t>
      </w:r>
      <w:proofErr w:type="spellEnd"/>
      <w:r w:rsidRPr="0025634D">
        <w:rPr>
          <w:rFonts w:eastAsia="TimesNewRomanPSMT" w:cs="Times New Roman"/>
          <w:szCs w:val="24"/>
        </w:rPr>
        <w:t xml:space="preserve">, </w:t>
      </w:r>
      <w:r w:rsidRPr="0025634D">
        <w:rPr>
          <w:rFonts w:eastAsia="TimesNewRomanPSMT" w:cs="Times New Roman"/>
          <w:iCs/>
          <w:szCs w:val="24"/>
        </w:rPr>
        <w:t>nėra atleidžiamas nuo pareigos dalyvauti išlaikant bendrąjį turtą, šiuo atveju liftą</w:t>
      </w:r>
      <w:r w:rsidRPr="0025634D">
        <w:rPr>
          <w:rFonts w:eastAsia="TimesNewRomanPSMT" w:cs="Times New Roman"/>
          <w:szCs w:val="24"/>
        </w:rPr>
        <w:t xml:space="preserve">, </w:t>
      </w:r>
      <w:r w:rsidRPr="0025634D">
        <w:rPr>
          <w:rFonts w:eastAsia="TimesNewRomanPSMT" w:cs="Times New Roman"/>
          <w:iCs/>
          <w:szCs w:val="24"/>
        </w:rPr>
        <w:t xml:space="preserve">nes jis nėra vien tik teikiamos paslaugos vartotojas. Jo </w:t>
      </w:r>
      <w:proofErr w:type="spellStart"/>
      <w:r w:rsidRPr="0025634D">
        <w:rPr>
          <w:rFonts w:eastAsia="TimesNewRomanPSMT" w:cs="Times New Roman"/>
          <w:iCs/>
          <w:szCs w:val="24"/>
        </w:rPr>
        <w:t>subjektinė</w:t>
      </w:r>
      <w:proofErr w:type="spellEnd"/>
      <w:r w:rsidRPr="0025634D">
        <w:rPr>
          <w:rFonts w:eastAsia="TimesNewRomanPSMT" w:cs="Times New Roman"/>
          <w:iCs/>
          <w:szCs w:val="24"/>
        </w:rPr>
        <w:t xml:space="preserve"> teisė atsisakyti naudojimosi liftu paslaugų ir šiai daliai tenkančių išlaidų yra ginama, tačiau tai neturi įtakos jo, kaip bendraturčio, pareigoms, kurios kyla iš įstatymu jam suteiktų pareigų dalyvauti išlaikant bendrąjį turtą.</w:t>
      </w:r>
      <w:r w:rsidRPr="0025634D">
        <w:rPr>
          <w:rFonts w:eastAsia="TimesNewRomanPSMT" w:cs="Times New Roman"/>
          <w:b/>
          <w:i/>
          <w:iCs/>
          <w:szCs w:val="24"/>
        </w:rPr>
        <w:t xml:space="preserve"> </w:t>
      </w:r>
      <w:r w:rsidRPr="0025634D">
        <w:rPr>
          <w:rFonts w:eastAsia="TimesNewRomanPSMT" w:cs="Times New Roman"/>
          <w:szCs w:val="24"/>
        </w:rPr>
        <w:t xml:space="preserve">Lietuvos Aukščiausiasis Teismas 2009 m. lapkričio 27 d. nutartyje, priimtoje civilinėje byloje Nr. 3K-7- 515/2009, pažymėjo, kad bendrosios dalinės nuosavybės teisės specifika lemia, kad įstatymuose yra nustatytos butų ir kitų patalpų savininkų pareigos, kurių negali pakeisti ar eliminuoti nei šios nuosavybės teisės subjektai, nei daugiabučio namo savininkų bendrija ar kitas bendrosios dalinės nuosavybės objektų valdymo teises įgyvendinantis asmuo, kad įstatymuose, </w:t>
      </w:r>
      <w:r w:rsidRPr="0025634D">
        <w:rPr>
          <w:rFonts w:eastAsia="TimesNewRomanPSMT" w:cs="Times New Roman"/>
          <w:szCs w:val="24"/>
        </w:rPr>
        <w:lastRenderedPageBreak/>
        <w:t xml:space="preserve">reglamentuojančiuose daugiabučio gyvenamojo namo butų ir kitų patalpų savininkų pareigas bendrosios dalinės nuosavybės teisėje, yra įtvirtinta bendroji taisyklė, jog </w:t>
      </w:r>
      <w:proofErr w:type="spellStart"/>
      <w:r w:rsidRPr="0025634D">
        <w:rPr>
          <w:rFonts w:eastAsia="TimesNewRomanPSMT" w:cs="Times New Roman"/>
          <w:szCs w:val="24"/>
        </w:rPr>
        <w:t>bendraturtis</w:t>
      </w:r>
      <w:proofErr w:type="spellEnd"/>
      <w:r w:rsidRPr="0025634D">
        <w:rPr>
          <w:rFonts w:eastAsia="TimesNewRomanPSMT" w:cs="Times New Roman"/>
          <w:szCs w:val="24"/>
        </w:rPr>
        <w:t xml:space="preserve"> privalo proporcingai prisidėti prie </w:t>
      </w:r>
      <w:r w:rsidRPr="0025634D">
        <w:rPr>
          <w:rFonts w:eastAsia="TimesNewRomanPSMT" w:cs="Times New Roman"/>
          <w:iCs/>
          <w:szCs w:val="24"/>
        </w:rPr>
        <w:t>visų išlaidų</w:t>
      </w:r>
      <w:r w:rsidRPr="0025634D">
        <w:rPr>
          <w:rFonts w:eastAsia="TimesNewRomanPSMT" w:cs="Times New Roman"/>
          <w:szCs w:val="24"/>
        </w:rPr>
        <w:t xml:space="preserve">, skirtų namui bei bendrosios dalinės nuosavybės objektams </w:t>
      </w:r>
      <w:r w:rsidRPr="0025634D">
        <w:rPr>
          <w:rFonts w:eastAsia="TimesNewRomanPSMT" w:cs="Times New Roman"/>
          <w:iCs/>
          <w:szCs w:val="24"/>
        </w:rPr>
        <w:t>išlaikyti, išsaugoti, atnaujinti, jų būtiniems pagerinimams atlikti.</w:t>
      </w:r>
      <w:r w:rsidRPr="0025634D">
        <w:rPr>
          <w:rFonts w:eastAsia="TimesNewRomanPSMT" w:cs="Times New Roman"/>
          <w:i/>
          <w:iCs/>
          <w:szCs w:val="24"/>
        </w:rPr>
        <w:t xml:space="preserve"> </w:t>
      </w:r>
      <w:r w:rsidRPr="0025634D">
        <w:rPr>
          <w:rFonts w:eastAsia="TimesNewRomanPSMT" w:cs="Times New Roman"/>
          <w:szCs w:val="24"/>
        </w:rPr>
        <w:t xml:space="preserve">Šiai taisyklei taikyti yra </w:t>
      </w:r>
      <w:r w:rsidRPr="0025634D">
        <w:rPr>
          <w:rFonts w:eastAsia="TimesNewRomanPSMT" w:cs="Times New Roman"/>
          <w:iCs/>
          <w:szCs w:val="24"/>
        </w:rPr>
        <w:t>teisiškai nereikšminga</w:t>
      </w:r>
      <w:r w:rsidRPr="0025634D">
        <w:rPr>
          <w:rFonts w:eastAsia="TimesNewRomanPSMT" w:cs="Times New Roman"/>
          <w:i/>
          <w:iCs/>
          <w:szCs w:val="24"/>
        </w:rPr>
        <w:t xml:space="preserve"> </w:t>
      </w:r>
      <w:r w:rsidRPr="0025634D">
        <w:rPr>
          <w:rFonts w:eastAsia="TimesNewRomanPSMT" w:cs="Times New Roman"/>
          <w:szCs w:val="24"/>
        </w:rPr>
        <w:t xml:space="preserve">atitinkamų bendrosios dalinės nuosavybės objektų, dėl kurių daromos nurodytos išlaidos, funkcinė paskirtis, taip pat bendraturčio, kuriam ji taikytina, </w:t>
      </w:r>
      <w:r w:rsidRPr="0025634D">
        <w:rPr>
          <w:rFonts w:eastAsia="TimesNewRomanPSMT" w:cs="Times New Roman"/>
          <w:iCs/>
          <w:szCs w:val="24"/>
        </w:rPr>
        <w:t>naudojimosi ar nesinaudojimo tais objektais aplinkybės.</w:t>
      </w:r>
      <w:r w:rsidRPr="0025634D">
        <w:rPr>
          <w:rFonts w:eastAsia="TimesNewRomanPSMT" w:cs="Times New Roman"/>
          <w:i/>
          <w:iCs/>
          <w:szCs w:val="24"/>
        </w:rPr>
        <w:t xml:space="preserve"> </w:t>
      </w:r>
      <w:r w:rsidRPr="0025634D">
        <w:rPr>
          <w:rFonts w:eastAsia="TimesNewRomanPSMT" w:cs="Times New Roman"/>
          <w:szCs w:val="24"/>
        </w:rPr>
        <w:t xml:space="preserve">Pagal nurodytą bendrąją taisyklę pareiga daugiabučio gyvenamojo namo </w:t>
      </w:r>
      <w:proofErr w:type="spellStart"/>
      <w:r w:rsidRPr="0025634D">
        <w:rPr>
          <w:rFonts w:eastAsia="TimesNewRomanPSMT" w:cs="Times New Roman"/>
          <w:szCs w:val="24"/>
        </w:rPr>
        <w:t>bendraturčiams</w:t>
      </w:r>
      <w:proofErr w:type="spellEnd"/>
      <w:r w:rsidRPr="0025634D">
        <w:rPr>
          <w:rFonts w:eastAsia="TimesNewRomanPSMT" w:cs="Times New Roman"/>
          <w:szCs w:val="24"/>
        </w:rPr>
        <w:t xml:space="preserve"> proporcingai apmokėti išlaidas atsiranda ir, pavyzdžiui, tokiu atveju, kai, esant būtinumui, yra naujomis pakeičiamos vienerios iš dvi ar daugiau laiptinių turinčio daugiabučio gyvenamojo namo laiptinės durys.</w:t>
      </w:r>
    </w:p>
    <w:p w:rsidR="008030ED" w:rsidRPr="0025634D" w:rsidRDefault="006D195F" w:rsidP="0025634D">
      <w:pPr>
        <w:ind w:firstLine="709"/>
        <w:rPr>
          <w:rFonts w:cs="Times New Roman"/>
          <w:szCs w:val="24"/>
        </w:rPr>
      </w:pPr>
      <w:r w:rsidRPr="0025634D">
        <w:rPr>
          <w:rFonts w:cs="Times New Roman"/>
          <w:szCs w:val="24"/>
        </w:rPr>
        <w:t>Ketvirtuoju klausimu buvo priimtas sprendimas atmesti</w:t>
      </w:r>
      <w:r w:rsidR="008030ED" w:rsidRPr="0025634D">
        <w:rPr>
          <w:rFonts w:cs="Times New Roman"/>
          <w:szCs w:val="24"/>
        </w:rPr>
        <w:t xml:space="preserve"> Rolando Matijošiaus ir kitų pareiškėjų peticijoje </w:t>
      </w:r>
      <w:r w:rsidR="008030ED" w:rsidRPr="0025634D">
        <w:rPr>
          <w:rFonts w:eastAsia="TimesNewRomanPSMT" w:cs="Times New Roman"/>
          <w:szCs w:val="24"/>
        </w:rPr>
        <w:t>„Dėl Lietuvos Respublikos bausmių vykdymo kodekso 157 straipsnio“</w:t>
      </w:r>
      <w:r w:rsidR="008030ED" w:rsidRPr="0025634D">
        <w:rPr>
          <w:rFonts w:cs="Times New Roman"/>
          <w:szCs w:val="24"/>
        </w:rPr>
        <w:t xml:space="preserve"> pateiktus pasiūlymus:</w:t>
      </w:r>
    </w:p>
    <w:p w:rsidR="008030ED" w:rsidRPr="0025634D" w:rsidRDefault="008030ED" w:rsidP="0025634D">
      <w:pPr>
        <w:ind w:firstLine="709"/>
        <w:rPr>
          <w:rFonts w:cs="Times New Roman"/>
          <w:szCs w:val="24"/>
        </w:rPr>
      </w:pPr>
      <w:r w:rsidRPr="0025634D">
        <w:rPr>
          <w:rFonts w:cs="Times New Roman"/>
          <w:szCs w:val="24"/>
        </w:rPr>
        <w:t>1) nuteistojo lygtinio paleidimo iš pataisos įstaigos klausimą leisti spręsti pačiai pataisos įstaigai be prokuroro ir teismo sprendimų;</w:t>
      </w:r>
    </w:p>
    <w:p w:rsidR="008030ED" w:rsidRPr="0025634D" w:rsidRDefault="008030ED" w:rsidP="0025634D">
      <w:pPr>
        <w:ind w:firstLine="709"/>
        <w:rPr>
          <w:rFonts w:cs="Times New Roman"/>
          <w:bCs/>
          <w:szCs w:val="24"/>
        </w:rPr>
      </w:pPr>
      <w:r w:rsidRPr="0025634D">
        <w:rPr>
          <w:rFonts w:cs="Times New Roman"/>
          <w:szCs w:val="24"/>
        </w:rPr>
        <w:t>2) lygtinio paleidimo iš pataisos įstaigos sąlygos būtų taikomos visiems padariusiems nusikalstamas veikas asmenims, įskaitant ir nuteistuosius už nusikaltimus, padarytus įkalinimo įstaigose.</w:t>
      </w:r>
      <w:r w:rsidRPr="0025634D">
        <w:rPr>
          <w:rFonts w:eastAsia="TimesNewRomanPSMT" w:cs="Times New Roman"/>
          <w:szCs w:val="24"/>
        </w:rPr>
        <w:t xml:space="preserve"> </w:t>
      </w:r>
    </w:p>
    <w:p w:rsidR="008030ED" w:rsidRPr="0025634D" w:rsidRDefault="008030ED" w:rsidP="0025634D">
      <w:pPr>
        <w:autoSpaceDE w:val="0"/>
        <w:autoSpaceDN w:val="0"/>
        <w:adjustRightInd w:val="0"/>
        <w:ind w:firstLine="709"/>
        <w:rPr>
          <w:rFonts w:cs="Times New Roman"/>
          <w:color w:val="000000"/>
          <w:szCs w:val="24"/>
        </w:rPr>
      </w:pPr>
      <w:r w:rsidRPr="0025634D">
        <w:rPr>
          <w:rFonts w:cs="Times New Roman"/>
          <w:color w:val="000000"/>
          <w:szCs w:val="24"/>
        </w:rPr>
        <w:t>Komisija šį sprendimą priėmė, atsižvelgusi į Lietuvos Respublikos teisingumo ministerijos pateiktą nuomonę ir dėl šių motyvų:</w:t>
      </w:r>
    </w:p>
    <w:p w:rsidR="008030ED" w:rsidRPr="0025634D" w:rsidRDefault="008030ED" w:rsidP="0025634D">
      <w:pPr>
        <w:autoSpaceDE w:val="0"/>
        <w:autoSpaceDN w:val="0"/>
        <w:adjustRightInd w:val="0"/>
        <w:ind w:firstLine="709"/>
        <w:rPr>
          <w:rFonts w:eastAsia="TimesNewRomanPSMT" w:cs="Times New Roman"/>
          <w:szCs w:val="24"/>
        </w:rPr>
      </w:pPr>
      <w:r w:rsidRPr="0025634D">
        <w:rPr>
          <w:rFonts w:eastAsia="TimesNewRomanPSMT" w:cs="Times New Roman"/>
          <w:szCs w:val="24"/>
        </w:rPr>
        <w:t>1) pareiškėjų peticijoje nepateikta jokių faktinių aplinkybių, kurios leistų abejoti esamu teisiniu reguliavimu ir lemtų poreikį keisti teisės aktus pagal pateiktus pasiūlymus. Pareiškėjų pateiktas pavyzdys iš esmės yra pavienis atvejis, kurį galimai lemia besiformuojanti teisės normų taikymo praktika, todėl šis atvejis neturėtų būti traktuojamas kaip esminė problema, kuriai spręsti reikėtų įgyvendinti pareiškėjų pateiktus pasiūlymus.</w:t>
      </w:r>
    </w:p>
    <w:p w:rsidR="008030ED" w:rsidRPr="0025634D" w:rsidRDefault="008030ED" w:rsidP="0025634D">
      <w:pPr>
        <w:autoSpaceDE w:val="0"/>
        <w:autoSpaceDN w:val="0"/>
        <w:adjustRightInd w:val="0"/>
        <w:rPr>
          <w:rFonts w:eastAsia="TimesNewRomanPSMT" w:cs="Times New Roman"/>
          <w:szCs w:val="24"/>
        </w:rPr>
      </w:pPr>
      <w:r w:rsidRPr="0025634D">
        <w:rPr>
          <w:rFonts w:eastAsia="TimesNewRomanPSMT" w:cs="Times New Roman"/>
          <w:szCs w:val="24"/>
        </w:rPr>
        <w:t xml:space="preserve">Kartu pažymėtina, kad Lietuvos Respublikos Vyriausybė 2015 m. balandžio 23 d. nutarimu Nr. 410 „Dėl Lietuvos Respublikos bausmių vykdymo kodekso pakeitimo įstatymo, Lietuvos Respublikos suėmimo vykdymo įstatymo Nr. 1-1175 2, 7, 8, 9, 10, 11, 12, 16, 22, 23, 24, 27, 28, 30, 32, 34. 37, 38, 41, 42, 44 ir 48 straipsnių pakeitimo įstatymo, Lietuvos Respublikos baudžiamojo proceso kodekso 253-1, 360, 362 ir 364 straipsnių pakeitimo įstatymo ir Lietuvos Respublikos probacijos įstatymo Nr. XI-1860 11, 17, 18, 21, 25, 30 ir 31 straipsnių pakeitimo įstatymo projektų pateikimo Lietuvos Respublikos Seimui“' pateikė Seimui Lietuvos Respublikos bausmių vykdymo kodekso pakeitimo įstatymo projektą, kuriame siūloma nustatyti aiškesnes lygtinio paleidimo taikymo sąlygas, kas sumažintų galimybę skirtingai jas interpretuoti, kai priimamas sprendimas dėl šio instituto taikymo. Seimui pritarus šiems pakeitimams, tikimasi, kad </w:t>
      </w:r>
      <w:r w:rsidRPr="0025634D">
        <w:rPr>
          <w:rFonts w:eastAsia="TimesNewRomanPSMT" w:cs="Times New Roman"/>
          <w:szCs w:val="24"/>
        </w:rPr>
        <w:lastRenderedPageBreak/>
        <w:t>lygtinis paleidimas iš pataisos įstaigų taps efektyvesnis ir sumažės nuteistųjų nuogąstavimų dėl šio instituto taikymo tvarkos;</w:t>
      </w:r>
    </w:p>
    <w:p w:rsidR="008030ED" w:rsidRPr="0025634D" w:rsidRDefault="008030ED" w:rsidP="0025634D">
      <w:pPr>
        <w:autoSpaceDE w:val="0"/>
        <w:autoSpaceDN w:val="0"/>
        <w:adjustRightInd w:val="0"/>
        <w:rPr>
          <w:rFonts w:eastAsia="TimesNewRomanPSMT" w:cs="Times New Roman"/>
          <w:szCs w:val="24"/>
        </w:rPr>
      </w:pPr>
      <w:r w:rsidRPr="0025634D">
        <w:rPr>
          <w:rFonts w:eastAsia="TimesNewRomanPSMT" w:cs="Times New Roman"/>
          <w:szCs w:val="24"/>
        </w:rPr>
        <w:t>2) teismai neturėtų būti visiškai išeliminuoti iš lygtinio paleidimo iš pataisos įstaigos taikymo proceso, kadangi taikant šį institutą nuteistiesiems lygtinio paleidimo laikotarpiui nustatomos probacijos sąlygos, kurios gali būti susijusios su žmogaus teisių ir laisvių suvaržymu. Prokurorų išeliminavimas iš lygtinio paleidimo iš pataisos įstaigos taikymo proceso susiaurintų jų galimybes įgyvendinti Lietuvos Respublikos Konstitucijos 118 straipsnyje, Lietuvos Respublikos baudžiamojo proceso kodekso 346 straipsnio 3 dalyje, Lietuvos Respublikos prokuratūros Įstatymo 2 straipsnio 2 dalies 5 ir 7 punktuose nustatytas pareigas: ginti asmens, visuomenės ir valstybės teises bei teisėtus interesus, kontroliuoti nuosprendžio vykdymą. Tai kartu susilpnintų asmenų ir viešųjų interesų apsaugos vykdymą;</w:t>
      </w:r>
    </w:p>
    <w:p w:rsidR="008030ED" w:rsidRPr="0025634D" w:rsidRDefault="008030ED" w:rsidP="0025634D">
      <w:pPr>
        <w:autoSpaceDE w:val="0"/>
        <w:autoSpaceDN w:val="0"/>
        <w:adjustRightInd w:val="0"/>
        <w:rPr>
          <w:rFonts w:eastAsia="TimesNewRomanPSMT" w:cs="Times New Roman"/>
          <w:szCs w:val="24"/>
        </w:rPr>
      </w:pPr>
      <w:r w:rsidRPr="0025634D">
        <w:rPr>
          <w:rFonts w:eastAsia="TimesNewRomanPSMT" w:cs="Times New Roman"/>
          <w:szCs w:val="24"/>
        </w:rPr>
        <w:t>3) pareiškėjai siūlo numatyti galimybę lygtinį paleidimą taikyti visiems nuteistiesiems, tačiau pažymėtina, kad Lietuvos Respublikos bausmių vykdymo kodekso (toliau – BVK) teisinis reguliavimas, nustatantis skirtingą nuteistiesiems suteikiamų teisių ir pareigų apimtį, bausmės atlikimo tvarką, lygtinio paleidimo iš pataisos įstaigos sąlygas, o taip pat atvejus, kuomet lygtinis paleidimas iš pataisos įstaigos netaikomas (BVK 158 straipsnis) yra grindžiamas BVK 9 straipsnyje įtvirtintu teisingo ir progresyvaus bausmių atlikimo principu, pagal kurį nuteistojo teisinė padėtis tiesiogiai priklauso nuo to, kaip nuteistasis elgiasi bausmės atlikimo metu, ar vykdo nustatytus draudimus ir pareigas, koks yra jo požiūris į darbą bei mokymąsi, kaip jis reaguoja į psichologinį poveikį ir socialinės reabilitacijos priemones. Atsižvelgiant į tai, nuteistojo teisinė padėtis švelninama suteikiant papildomas teises, atsisakant tam tikrų apribojimų (pvz., taikant lygtinį paleidimą iš pataisos įstaigos nuteistasis toliau bausmę atlieka neizoliuotas nuo visuomenės, t.y. maksimaliai sumažėja suvaržymų), arba griežtinama, atimant tam tikras teises, nustatant papildomas pareigas, o taip pat netaikant jiems lygtinio paleidimo iš pataisos įstaigos. Taigi, atsižvelgiant į minėtą principą, nuteistasis turi dėti visas pastangas ir savo elgesiu įrodyti, kad yra vertas pasitikėjimo, o kartu ir lygtinio paleidimo iš pataisos įstaigos. Tuo tarpu pareiškėjai, pateikdami siūlymą, visiškai neatsižvelgė į minėtą BVK 9 straipsnyje ¡tvirtintą bausmių vykdymo principą ir galimai tikisi formalaus jų teisinės padėties švelninimo, o taip pat ir lygtinio paleidimo iš pataisos ištaigų taikymo.</w:t>
      </w:r>
    </w:p>
    <w:p w:rsidR="008030ED" w:rsidRPr="0025634D" w:rsidRDefault="008030ED" w:rsidP="0025634D">
      <w:pPr>
        <w:autoSpaceDE w:val="0"/>
        <w:autoSpaceDN w:val="0"/>
        <w:adjustRightInd w:val="0"/>
        <w:rPr>
          <w:rFonts w:eastAsia="TimesNewRomanPSMT" w:cs="Times New Roman"/>
          <w:szCs w:val="24"/>
        </w:rPr>
      </w:pPr>
      <w:r w:rsidRPr="0025634D">
        <w:rPr>
          <w:rFonts w:eastAsia="TimesNewRomanPSMT" w:cs="Times New Roman"/>
          <w:szCs w:val="24"/>
        </w:rPr>
        <w:t xml:space="preserve">Pažymėtina ir tai, kad BVK 158 straipsnyje numatytomis išimtimis, kada asmenys iš pataisos įstaigų lygtinai nepaleidžiami, siekiama bendrosios, ypač sunkių ir labai sunkių nusikaltimų, o taip pat jų recidyvo prevencijos, informuojant, įspėjant asmenis, o taip pat ir nuteistuosius, kad jie nedarytų nusikalstamų veikų. Jei būtų pritarta pareiškėjų siūlymui taikyti visiems nuteistiesiems lygtinį paleidimą iš pataisos įstaigos, ši prevencinė reikšmė mažėtų ir </w:t>
      </w:r>
      <w:r w:rsidRPr="0025634D">
        <w:rPr>
          <w:rFonts w:eastAsia="TimesNewRomanPSMT" w:cs="Times New Roman"/>
          <w:szCs w:val="24"/>
        </w:rPr>
        <w:lastRenderedPageBreak/>
        <w:t>neskatintų nuteistųjų bausmės atlikimo metu dorai elgtis, laikytis nustatytų pareigų ir draudimų, stropiai dirbti ir mokytis, dalyvauti socialinėje reabilitacijoje ir nedaryti nusikalstamų veikų.</w:t>
      </w:r>
    </w:p>
    <w:p w:rsidR="008030ED" w:rsidRPr="0025634D" w:rsidRDefault="008030ED" w:rsidP="0025634D">
      <w:pPr>
        <w:autoSpaceDE w:val="0"/>
        <w:autoSpaceDN w:val="0"/>
        <w:adjustRightInd w:val="0"/>
        <w:rPr>
          <w:rFonts w:eastAsia="TimesNewRomanPSMT" w:cs="Times New Roman"/>
          <w:szCs w:val="24"/>
        </w:rPr>
      </w:pPr>
      <w:r w:rsidRPr="0025634D">
        <w:rPr>
          <w:rFonts w:eastAsia="TimesNewRomanPSMT" w:cs="Times New Roman"/>
          <w:szCs w:val="24"/>
        </w:rPr>
        <w:t xml:space="preserve">Atkreiptinas dėmesys ir į tai, kad sprendžiant klausimą dėl lygtinio paleidimo iš pataisos įstaigos, vieni iš vertinamųjų kriterijų yra nuteistojo nusikalstamo elgesio rizika bei elgesys bausmės atlikimo metu. Jei nuteistasis arešto ar laisvės atėmimo bausmės atlikimo metu padaro tyčinį nusikaltimą, padidėja jo rizika, kad ir išėjęs iš pataisos įstaigos asmuo darys nusikalstamas veikas. Kartu tai parodo jo negatyvų požiūrį </w:t>
      </w:r>
      <w:r w:rsidRPr="0025634D">
        <w:rPr>
          <w:rFonts w:eastAsia="TimesNewRomanPSMT" w:cs="Times New Roman"/>
          <w:iCs/>
          <w:szCs w:val="24"/>
        </w:rPr>
        <w:t>į</w:t>
      </w:r>
      <w:r w:rsidRPr="0025634D">
        <w:rPr>
          <w:rFonts w:eastAsia="TimesNewRomanPSMT" w:cs="Times New Roman"/>
          <w:i/>
          <w:iCs/>
          <w:szCs w:val="24"/>
        </w:rPr>
        <w:t xml:space="preserve"> </w:t>
      </w:r>
      <w:r w:rsidRPr="0025634D">
        <w:rPr>
          <w:rFonts w:eastAsia="TimesNewRomanPSMT" w:cs="Times New Roman"/>
          <w:szCs w:val="24"/>
        </w:rPr>
        <w:t>resocializaciją, vykdomą laisvės atėmimo vietoje.</w:t>
      </w:r>
    </w:p>
    <w:p w:rsidR="008030ED" w:rsidRPr="0025634D" w:rsidRDefault="008030ED" w:rsidP="0025634D">
      <w:pPr>
        <w:autoSpaceDE w:val="0"/>
        <w:autoSpaceDN w:val="0"/>
        <w:adjustRightInd w:val="0"/>
        <w:rPr>
          <w:rFonts w:cs="Times New Roman"/>
          <w:szCs w:val="24"/>
        </w:rPr>
      </w:pPr>
      <w:r w:rsidRPr="0025634D">
        <w:rPr>
          <w:rFonts w:eastAsia="TimesNewRomanPSMT" w:cs="Times New Roman"/>
          <w:szCs w:val="24"/>
        </w:rPr>
        <w:t>Paminėtina ir tai, kad pagal statistiką pataisos įstaigose lengvojoje grupėje, į kurią perkeliami tik nepriekaištingai besielgiantys, aktyviai dalyvaujantys socialinės reabilitacijos priemonėse, stropiai dirbantys ir besimokantys nuteistieji, 2015 m. sausio 1 d. bausmę atlikinėjo 411 nuteistųjų. Tai sudaro tik apie 5,9 procentus nuo visų bausmę atliekančių nuteistųjų skaičiaus. Be to, vien per 2014 m. pas nuteistuosius buvo rasti jiems draudžiami turėti apie 6540 mobiliųjų telefonų ir 5680 SIM kortelių, 104641 alkoholio raugo ir daug kitų draudžiamų daiktų (pinigų, duriančių daiktų, narkotinių medžiagų ir t.t.), laisvės atėmimo vietose užregistruotos 197 nusikalstamos veikos (179 nusikaltimai ir 18 baudžiamųjų nusižengimų), laisvės atėmimo vietose nuteistieji padarė apie 24 tūkst. vidaus tvarkos nusižengimų, skirtų nuteistiesiems nuobaudų skaičius viršija 17 tūkst. (6635 nuteistiesiems). Šie duomenys leidžia abejoti, kad patys nuteistieji yra pakankamai pasirengę lygtiniam paleidimui iš pataisos įstaigos ir integracijai į visuomenę, o taip pat ir palankesnėms lygtinio paleidimo iš pataisos įstaigų sąlygoms, kurias siūlo pareiškėjai.</w:t>
      </w:r>
    </w:p>
    <w:p w:rsidR="00437B44" w:rsidRPr="0025634D" w:rsidRDefault="008030ED" w:rsidP="0025634D">
      <w:pPr>
        <w:rPr>
          <w:rFonts w:cs="Times New Roman"/>
          <w:szCs w:val="24"/>
        </w:rPr>
      </w:pPr>
      <w:r w:rsidRPr="0025634D">
        <w:rPr>
          <w:rFonts w:cs="Times New Roman"/>
          <w:szCs w:val="24"/>
        </w:rPr>
        <w:t>Penktuoju kla</w:t>
      </w:r>
      <w:r w:rsidR="00437B44" w:rsidRPr="0025634D">
        <w:rPr>
          <w:rFonts w:cs="Times New Roman"/>
          <w:szCs w:val="24"/>
        </w:rPr>
        <w:t>usimu Komisija priėmė sprendimą Arsenijaus Vorobjovo kreipimąsi „Dėl mėgėjiškos žvejybos įstatymo“ pripažinti peticija ir priimti ją nagrinėti.</w:t>
      </w:r>
    </w:p>
    <w:p w:rsidR="00437B44" w:rsidRPr="0025634D" w:rsidRDefault="00C7784A" w:rsidP="0025634D">
      <w:pPr>
        <w:autoSpaceDE w:val="0"/>
        <w:autoSpaceDN w:val="0"/>
        <w:adjustRightInd w:val="0"/>
        <w:rPr>
          <w:rFonts w:cs="Times New Roman"/>
          <w:szCs w:val="24"/>
        </w:rPr>
      </w:pPr>
      <w:r w:rsidRPr="0025634D">
        <w:rPr>
          <w:rFonts w:cs="Times New Roman"/>
          <w:szCs w:val="24"/>
        </w:rPr>
        <w:t xml:space="preserve">Pareiškėjas siūlo </w:t>
      </w:r>
      <w:r w:rsidRPr="0025634D">
        <w:rPr>
          <w:rFonts w:eastAsia="TimesNewRomanPSMT" w:cs="Times New Roman"/>
          <w:szCs w:val="24"/>
        </w:rPr>
        <w:t xml:space="preserve">suvienodinti sąlygas žvejoti nemokamai visiems tiek socialinio draudimo, tiek </w:t>
      </w:r>
      <w:proofErr w:type="spellStart"/>
      <w:r w:rsidRPr="0025634D">
        <w:rPr>
          <w:rFonts w:eastAsia="TimesNewRomanPSMT" w:cs="Times New Roman"/>
          <w:szCs w:val="24"/>
        </w:rPr>
        <w:t>pąreigūnams-pensininkams“.</w:t>
      </w:r>
      <w:proofErr w:type="spellEnd"/>
    </w:p>
    <w:p w:rsidR="00701D0D" w:rsidRPr="0025634D" w:rsidRDefault="00C7784A" w:rsidP="0025634D">
      <w:pPr>
        <w:rPr>
          <w:rFonts w:cs="Times New Roman"/>
          <w:szCs w:val="24"/>
        </w:rPr>
      </w:pPr>
      <w:r w:rsidRPr="0025634D">
        <w:rPr>
          <w:rFonts w:cs="Times New Roman"/>
          <w:szCs w:val="24"/>
        </w:rPr>
        <w:t>Šeštuoju klausimu Komisija priėmė sprendimą</w:t>
      </w:r>
      <w:r w:rsidR="00701D0D" w:rsidRPr="0025634D">
        <w:rPr>
          <w:rFonts w:cs="Times New Roman"/>
          <w:szCs w:val="24"/>
        </w:rPr>
        <w:t xml:space="preserve"> Ričardo Rimkaus kreipimą</w:t>
      </w:r>
      <w:r w:rsidR="00437B44" w:rsidRPr="0025634D">
        <w:rPr>
          <w:rFonts w:cs="Times New Roman"/>
          <w:szCs w:val="24"/>
        </w:rPr>
        <w:t xml:space="preserve">si „Dėl Lietuvos Respublikos valstybės tarnybos įstatymo 7 straipsnio pakeitimo“ </w:t>
      </w:r>
      <w:r w:rsidR="00701D0D" w:rsidRPr="0025634D">
        <w:rPr>
          <w:rFonts w:cs="Times New Roman"/>
          <w:szCs w:val="24"/>
        </w:rPr>
        <w:t>pripažinti peticija ir priimti ją nagrinėti.</w:t>
      </w:r>
    </w:p>
    <w:p w:rsidR="00E23F16" w:rsidRPr="0025634D" w:rsidRDefault="00701D0D" w:rsidP="0025634D">
      <w:pPr>
        <w:autoSpaceDE w:val="0"/>
        <w:autoSpaceDN w:val="0"/>
        <w:adjustRightInd w:val="0"/>
        <w:rPr>
          <w:rFonts w:eastAsia="Calibri-Bold" w:cs="Times New Roman"/>
          <w:bCs/>
          <w:szCs w:val="24"/>
        </w:rPr>
      </w:pPr>
      <w:r w:rsidRPr="0025634D">
        <w:rPr>
          <w:rFonts w:cs="Times New Roman"/>
          <w:szCs w:val="24"/>
        </w:rPr>
        <w:t xml:space="preserve">Pareiškėjas siūlo </w:t>
      </w:r>
      <w:r w:rsidR="00E23F16" w:rsidRPr="0025634D">
        <w:rPr>
          <w:rFonts w:eastAsia="Calibri-Bold" w:cs="Times New Roman"/>
          <w:bCs/>
          <w:szCs w:val="24"/>
        </w:rPr>
        <w:t>panaikinti kolegijų absolventus diskriminuojančią Valstybės tarnybos įstatymo normą ir ją išdėstyti taip:</w:t>
      </w:r>
    </w:p>
    <w:p w:rsidR="00E23F16" w:rsidRPr="0025634D" w:rsidRDefault="00E23F16" w:rsidP="0025634D">
      <w:pPr>
        <w:autoSpaceDE w:val="0"/>
        <w:autoSpaceDN w:val="0"/>
        <w:adjustRightInd w:val="0"/>
        <w:rPr>
          <w:rFonts w:eastAsia="Calibri-Bold" w:cs="Times New Roman"/>
          <w:iCs/>
          <w:szCs w:val="24"/>
        </w:rPr>
      </w:pPr>
      <w:r w:rsidRPr="0025634D">
        <w:rPr>
          <w:rFonts w:eastAsia="Calibri-Bold" w:cs="Times New Roman"/>
          <w:iCs/>
          <w:szCs w:val="24"/>
        </w:rPr>
        <w:t>„Valstybės tarnautojų pareigybės yra trijų lygių:</w:t>
      </w:r>
    </w:p>
    <w:p w:rsidR="00E23F16" w:rsidRPr="0025634D" w:rsidRDefault="00E23F16" w:rsidP="0025634D">
      <w:pPr>
        <w:autoSpaceDE w:val="0"/>
        <w:autoSpaceDN w:val="0"/>
        <w:adjustRightInd w:val="0"/>
        <w:rPr>
          <w:rFonts w:eastAsia="Calibri-Bold" w:cs="Times New Roman"/>
          <w:iCs/>
          <w:szCs w:val="24"/>
        </w:rPr>
      </w:pPr>
      <w:r w:rsidRPr="0025634D">
        <w:rPr>
          <w:rFonts w:eastAsia="Calibri-Bold" w:cs="Times New Roman"/>
          <w:iCs/>
          <w:szCs w:val="24"/>
        </w:rPr>
        <w:t>1) A lygio – pareigybės, kurioms būtinas aukštasis arba jam prilygintas išsilavinimas;</w:t>
      </w:r>
    </w:p>
    <w:p w:rsidR="00E23F16" w:rsidRPr="0025634D" w:rsidRDefault="00E23F16" w:rsidP="0025634D">
      <w:pPr>
        <w:autoSpaceDE w:val="0"/>
        <w:autoSpaceDN w:val="0"/>
        <w:adjustRightInd w:val="0"/>
        <w:rPr>
          <w:rFonts w:eastAsia="Calibri-Bold" w:cs="Times New Roman"/>
          <w:iCs/>
          <w:szCs w:val="24"/>
        </w:rPr>
      </w:pPr>
      <w:r w:rsidRPr="0025634D">
        <w:rPr>
          <w:rFonts w:eastAsia="Calibri-Bold" w:cs="Times New Roman"/>
          <w:iCs/>
          <w:szCs w:val="24"/>
        </w:rPr>
        <w:t xml:space="preserve">2) B lygio </w:t>
      </w:r>
      <w:r w:rsidRPr="0025634D">
        <w:rPr>
          <w:rFonts w:eastAsia="Calibri-Bold" w:cs="Times New Roman"/>
          <w:szCs w:val="24"/>
        </w:rPr>
        <w:t xml:space="preserve">– </w:t>
      </w:r>
      <w:r w:rsidRPr="0025634D">
        <w:rPr>
          <w:rFonts w:eastAsia="Calibri-Bold" w:cs="Times New Roman"/>
          <w:iCs/>
          <w:szCs w:val="24"/>
        </w:rPr>
        <w:t>pareigybės, kurioms būtinas aukštesnysis išsilavinimas arba iki 1995 metų įgytas specialusis vidurinis išsilavinimas;</w:t>
      </w:r>
    </w:p>
    <w:p w:rsidR="00E23F16" w:rsidRPr="0025634D" w:rsidRDefault="00E23F16" w:rsidP="0025634D">
      <w:pPr>
        <w:autoSpaceDE w:val="0"/>
        <w:autoSpaceDN w:val="0"/>
        <w:adjustRightInd w:val="0"/>
        <w:jc w:val="left"/>
        <w:rPr>
          <w:rFonts w:eastAsia="Calibri-Bold" w:cs="Times New Roman"/>
          <w:iCs/>
          <w:szCs w:val="24"/>
        </w:rPr>
      </w:pPr>
      <w:r w:rsidRPr="0025634D">
        <w:rPr>
          <w:rFonts w:eastAsia="Calibri-Bold" w:cs="Times New Roman"/>
          <w:iCs/>
          <w:szCs w:val="24"/>
        </w:rPr>
        <w:t xml:space="preserve">3) C lygio </w:t>
      </w:r>
      <w:r w:rsidRPr="0025634D">
        <w:rPr>
          <w:rFonts w:eastAsia="Calibri-Bold" w:cs="Times New Roman"/>
          <w:szCs w:val="24"/>
        </w:rPr>
        <w:t xml:space="preserve">– </w:t>
      </w:r>
      <w:r w:rsidRPr="0025634D">
        <w:rPr>
          <w:rFonts w:eastAsia="Calibri-Bold" w:cs="Times New Roman"/>
          <w:iCs/>
          <w:szCs w:val="24"/>
        </w:rPr>
        <w:t>pareigybės, kurioms būtinas ne žemesnis kaip vidurinis išsilavinimas ir įgyta profesinė kvalifikacija.“</w:t>
      </w:r>
    </w:p>
    <w:p w:rsidR="00FD6407" w:rsidRPr="0025634D" w:rsidRDefault="00E23F16" w:rsidP="0025634D">
      <w:pPr>
        <w:autoSpaceDE w:val="0"/>
        <w:autoSpaceDN w:val="0"/>
        <w:adjustRightInd w:val="0"/>
        <w:rPr>
          <w:rFonts w:cs="Times New Roman"/>
          <w:szCs w:val="24"/>
        </w:rPr>
      </w:pPr>
      <w:r w:rsidRPr="0025634D">
        <w:rPr>
          <w:rFonts w:cs="Times New Roman"/>
          <w:szCs w:val="24"/>
        </w:rPr>
        <w:lastRenderedPageBreak/>
        <w:t>Septintuoju klausimu Komisija</w:t>
      </w:r>
      <w:r w:rsidR="00FD6407" w:rsidRPr="0025634D">
        <w:rPr>
          <w:rFonts w:cs="Times New Roman"/>
          <w:szCs w:val="24"/>
        </w:rPr>
        <w:t>,</w:t>
      </w:r>
      <w:r w:rsidRPr="0025634D">
        <w:rPr>
          <w:rFonts w:cs="Times New Roman"/>
          <w:szCs w:val="24"/>
        </w:rPr>
        <w:t xml:space="preserve"> </w:t>
      </w:r>
      <w:r w:rsidR="00FD6407" w:rsidRPr="0025634D">
        <w:rPr>
          <w:rFonts w:cs="Times New Roman"/>
          <w:szCs w:val="24"/>
          <w:lang w:eastAsia="lt-LT"/>
        </w:rPr>
        <w:t>v</w:t>
      </w:r>
      <w:r w:rsidR="00FD6407" w:rsidRPr="0025634D">
        <w:rPr>
          <w:rFonts w:cs="Times New Roman"/>
          <w:szCs w:val="24"/>
        </w:rPr>
        <w:t>adovaudamasi Peticijų įstatymo 7 straipsnio 2 dalimi, priėmė sprendimą Lietuvos Respublikos Vyriausybės Peticijų komisijos persiųsto Komisijai Igno Meškausko kreipimosi „Dėl Lietuvos Respublikos vietos savivaldos įstatymo ir Valstybės tarnybos įstatymo papildymų“ nenagrinėti Peticijų įstatyme nustatytais pagrindais – nepraėjo vieneri metai nuo to laiko, kai 2014 m. liepos 8 d. Seimas priėmė sprendimus atmesti Igno Meškausko peticijose „</w:t>
      </w:r>
      <w:r w:rsidR="00FD6407" w:rsidRPr="0025634D">
        <w:rPr>
          <w:rFonts w:eastAsia="TimesNewRomanPSMT" w:cs="Times New Roman"/>
          <w:szCs w:val="24"/>
        </w:rPr>
        <w:t>Dėl Lietuvos Respublikos vietos savivaldos įstatymo 7 straipsnio pakeitimo“ ir „Dėl Lietuvos Respublikos vietos savivaldos įstatymo 7 straipsnio ir Lietuvos Respublikos valstybės tarnybos įstatymo 11 straipsnio pakeitimo“</w:t>
      </w:r>
      <w:r w:rsidR="00FD6407" w:rsidRPr="0025634D">
        <w:rPr>
          <w:rFonts w:cs="Times New Roman"/>
          <w:szCs w:val="24"/>
        </w:rPr>
        <w:t xml:space="preserve"> pateiktus pasiūlymus. </w:t>
      </w:r>
    </w:p>
    <w:p w:rsidR="00FD6407" w:rsidRPr="0025634D" w:rsidRDefault="00FD6407" w:rsidP="0025634D">
      <w:pPr>
        <w:autoSpaceDE w:val="0"/>
        <w:autoSpaceDN w:val="0"/>
        <w:adjustRightInd w:val="0"/>
        <w:rPr>
          <w:rFonts w:cs="Times New Roman"/>
          <w:szCs w:val="24"/>
        </w:rPr>
      </w:pPr>
      <w:r w:rsidRPr="0025634D">
        <w:rPr>
          <w:rFonts w:cs="Times New Roman"/>
          <w:szCs w:val="24"/>
        </w:rPr>
        <w:t>2014 m. pareiškėjas teikė Komisijai du kreipimusi „</w:t>
      </w:r>
      <w:r w:rsidRPr="0025634D">
        <w:rPr>
          <w:rFonts w:eastAsia="TimesNewRomanPSMT" w:cs="Times New Roman"/>
          <w:szCs w:val="24"/>
        </w:rPr>
        <w:t xml:space="preserve">Dėl Lietuvos Respublikos vietos savivaldos įstatymo 7 straipsnio pakeitimo“, </w:t>
      </w:r>
      <w:r w:rsidRPr="0025634D">
        <w:rPr>
          <w:rFonts w:cs="Times New Roman"/>
          <w:szCs w:val="24"/>
        </w:rPr>
        <w:t>kuriame siūlė</w:t>
      </w:r>
      <w:r w:rsidRPr="0025634D">
        <w:rPr>
          <w:rFonts w:cs="Times New Roman"/>
          <w:szCs w:val="24"/>
          <w:lang w:eastAsia="lt-LT"/>
        </w:rPr>
        <w:t xml:space="preserve"> </w:t>
      </w:r>
      <w:r w:rsidRPr="0025634D">
        <w:rPr>
          <w:rFonts w:eastAsia="TimesNewRomanPSMT" w:cs="Times New Roman"/>
          <w:szCs w:val="24"/>
        </w:rPr>
        <w:t>p</w:t>
      </w:r>
      <w:r w:rsidRPr="0025634D">
        <w:rPr>
          <w:rFonts w:eastAsia="Batang" w:cs="Times New Roman"/>
          <w:szCs w:val="24"/>
        </w:rPr>
        <w:t xml:space="preserve">apildyti Vietos savivaldos įstatymo 7 straipsnį 38 punktu: „dalyvavimas plėtojant Lietuvos šaulių organizacijos veiklą“, ir </w:t>
      </w:r>
      <w:r w:rsidRPr="0025634D">
        <w:rPr>
          <w:rFonts w:eastAsia="TimesNewRomanPSMT" w:cs="Times New Roman"/>
          <w:szCs w:val="24"/>
        </w:rPr>
        <w:t xml:space="preserve">„Dėl Lietuvos Respublikos vietos savivaldos įstatymo 7 straipsnio ir Lietuvos Respublikos valstybės tarnybos įstatymo 11 straipsnio pakeitimo“, kuriame siūlė </w:t>
      </w:r>
      <w:r w:rsidRPr="0025634D">
        <w:rPr>
          <w:rFonts w:cs="Times New Roman"/>
          <w:szCs w:val="24"/>
        </w:rPr>
        <w:t>papildyti Lietuvos Respublikos valstybės tarnybos įstatymo 11 straipsnio 2 dalį žodžiais „o taip pat Lietuvos šaulių sąjungos nariams.“</w:t>
      </w:r>
    </w:p>
    <w:p w:rsidR="00FD6407" w:rsidRPr="0025634D" w:rsidRDefault="00FD6407" w:rsidP="0025634D">
      <w:pPr>
        <w:tabs>
          <w:tab w:val="left" w:pos="709"/>
        </w:tabs>
        <w:rPr>
          <w:rFonts w:cs="Times New Roman"/>
          <w:szCs w:val="24"/>
        </w:rPr>
      </w:pPr>
      <w:r w:rsidRPr="0025634D">
        <w:rPr>
          <w:rFonts w:cs="Times New Roman"/>
          <w:szCs w:val="24"/>
        </w:rPr>
        <w:t>Komisija 2014 m. birželio 25 d. priėmė sprendimus atmesti šiose peticijose pateiktus pasiūlymus. Seimas pritarė šioms Komisijoms išvadoms ir 2014 m. liepos 8 d. priėmė Seimo protokolinius nutarimus atmesti pasiūlymus.</w:t>
      </w:r>
    </w:p>
    <w:p w:rsidR="00FD6407" w:rsidRPr="0025634D" w:rsidRDefault="00FD6407" w:rsidP="0025634D">
      <w:pPr>
        <w:rPr>
          <w:rStyle w:val="Typewriter"/>
          <w:rFonts w:ascii="Times New Roman" w:hAnsi="Times New Roman" w:cs="Times New Roman"/>
          <w:sz w:val="24"/>
          <w:szCs w:val="24"/>
        </w:rPr>
      </w:pPr>
      <w:r w:rsidRPr="0025634D">
        <w:rPr>
          <w:rFonts w:cs="Times New Roman"/>
          <w:szCs w:val="24"/>
        </w:rPr>
        <w:t xml:space="preserve">Pagal Peticijų įstatymo 7 straipsnio 2 dalį pareiškėjas, </w:t>
      </w:r>
      <w:r w:rsidRPr="0025634D">
        <w:rPr>
          <w:rStyle w:val="Typewriter"/>
          <w:rFonts w:ascii="Times New Roman" w:hAnsi="Times New Roman" w:cs="Times New Roman"/>
          <w:sz w:val="24"/>
          <w:szCs w:val="24"/>
        </w:rPr>
        <w:t>nesutinkantis su peticijų komisijos ar Seimo, Vyriausybės ar savivaldybės tarybos sprendimu dėl peticijoje iškeltų reikalavimų ir siūlymų, turi teisę po vienerių metų nuo šio įstatymo 15 straipsnyje numatyto pranešimo gavimo dienos šio įstatymo nustatyta tvarka pakartotinai pateikti kreipimąsi.</w:t>
      </w:r>
    </w:p>
    <w:p w:rsidR="00FD6407" w:rsidRPr="0025634D" w:rsidRDefault="00FD6407" w:rsidP="0025634D">
      <w:pPr>
        <w:rPr>
          <w:rStyle w:val="Typewriter"/>
          <w:rFonts w:ascii="Times New Roman" w:hAnsi="Times New Roman" w:cs="Times New Roman"/>
          <w:sz w:val="24"/>
          <w:szCs w:val="24"/>
        </w:rPr>
      </w:pPr>
      <w:r w:rsidRPr="0025634D">
        <w:rPr>
          <w:rStyle w:val="Typewriter"/>
          <w:rFonts w:ascii="Times New Roman" w:hAnsi="Times New Roman" w:cs="Times New Roman"/>
          <w:sz w:val="24"/>
          <w:szCs w:val="24"/>
        </w:rPr>
        <w:t xml:space="preserve">2014 m. liepos 10 d. pareiškėjui buvo išsiųstas pranešimas apie Seimo priimtus sprendimus, todėl jis gali teikti naują kreipimąsi šiuo klausimu ne anksčiau kaip 2015 m. liepos 10 d. </w:t>
      </w:r>
    </w:p>
    <w:p w:rsidR="003B51E5" w:rsidRPr="0025634D" w:rsidRDefault="00FD6407" w:rsidP="0025634D">
      <w:pPr>
        <w:autoSpaceDE w:val="0"/>
        <w:autoSpaceDN w:val="0"/>
        <w:adjustRightInd w:val="0"/>
        <w:rPr>
          <w:rFonts w:eastAsia="TimesNewRomanPSMT" w:cs="Times New Roman"/>
          <w:szCs w:val="24"/>
          <w:lang w:eastAsia="lt-LT"/>
        </w:rPr>
      </w:pPr>
      <w:r w:rsidRPr="0025634D">
        <w:rPr>
          <w:rFonts w:cs="Times New Roman"/>
          <w:szCs w:val="24"/>
        </w:rPr>
        <w:t>Aštuntuoju klausimu Komisija</w:t>
      </w:r>
      <w:r w:rsidR="003B51E5" w:rsidRPr="0025634D">
        <w:rPr>
          <w:rFonts w:cs="Times New Roman"/>
          <w:szCs w:val="24"/>
        </w:rPr>
        <w:t>,</w:t>
      </w:r>
      <w:r w:rsidRPr="0025634D">
        <w:rPr>
          <w:rFonts w:cs="Times New Roman"/>
          <w:szCs w:val="24"/>
        </w:rPr>
        <w:t xml:space="preserve"> </w:t>
      </w:r>
      <w:r w:rsidR="003B51E5" w:rsidRPr="0025634D">
        <w:rPr>
          <w:rFonts w:cs="Times New Roman"/>
          <w:szCs w:val="24"/>
        </w:rPr>
        <w:t xml:space="preserve">vadovaudamasi </w:t>
      </w:r>
      <w:r w:rsidR="003B51E5" w:rsidRPr="0025634D">
        <w:rPr>
          <w:rFonts w:eastAsia="TimesNewRomanPSMT" w:cs="Times New Roman"/>
          <w:szCs w:val="24"/>
          <w:lang w:eastAsia="lt-LT"/>
        </w:rPr>
        <w:t>Lietuvos Respublikos peticijų įstatymo 1 straipsniu ir 2 straipsnio 4 dalimi,</w:t>
      </w:r>
      <w:r w:rsidR="003B51E5" w:rsidRPr="0025634D">
        <w:rPr>
          <w:rFonts w:cs="Times New Roman"/>
          <w:szCs w:val="24"/>
        </w:rPr>
        <w:t xml:space="preserve"> taip pat </w:t>
      </w:r>
      <w:r w:rsidR="003B51E5" w:rsidRPr="0025634D">
        <w:rPr>
          <w:rFonts w:eastAsia="TimesNewRomanPSMT" w:cs="Times New Roman"/>
          <w:szCs w:val="24"/>
          <w:lang w:eastAsia="lt-LT"/>
        </w:rPr>
        <w:t xml:space="preserve">Lietuvos Respublikos </w:t>
      </w:r>
      <w:r w:rsidR="003B51E5" w:rsidRPr="0025634D">
        <w:rPr>
          <w:rFonts w:cs="Times New Roman"/>
          <w:szCs w:val="24"/>
        </w:rPr>
        <w:t xml:space="preserve">Konstitucijos 105 straipsnio 1 dalimi, </w:t>
      </w:r>
      <w:r w:rsidR="00D1583B" w:rsidRPr="0025634D">
        <w:rPr>
          <w:rFonts w:cs="Times New Roman"/>
          <w:szCs w:val="24"/>
        </w:rPr>
        <w:t>priėmė sprendimą</w:t>
      </w:r>
      <w:r w:rsidR="003B51E5" w:rsidRPr="0025634D">
        <w:rPr>
          <w:rFonts w:cs="Times New Roman"/>
          <w:szCs w:val="24"/>
        </w:rPr>
        <w:t xml:space="preserve"> </w:t>
      </w:r>
      <w:r w:rsidR="00656B56" w:rsidRPr="0025634D">
        <w:rPr>
          <w:rFonts w:cs="Times New Roman"/>
          <w:szCs w:val="24"/>
        </w:rPr>
        <w:t>Valerijaus</w:t>
      </w:r>
      <w:r w:rsidR="00D1583B" w:rsidRPr="0025634D">
        <w:rPr>
          <w:rFonts w:cs="Times New Roman"/>
          <w:szCs w:val="24"/>
        </w:rPr>
        <w:t xml:space="preserve"> Kazakevičiaus</w:t>
      </w:r>
      <w:r w:rsidR="003B51E5" w:rsidRPr="0025634D">
        <w:rPr>
          <w:rFonts w:cs="Times New Roman"/>
          <w:szCs w:val="24"/>
        </w:rPr>
        <w:t xml:space="preserve"> skundo dėl Komisijos 2015 m. balandžio 22 d. posėdyje priimto sprendimo Jūsų peticijos „</w:t>
      </w:r>
      <w:r w:rsidR="003B51E5" w:rsidRPr="0025634D">
        <w:rPr>
          <w:rFonts w:eastAsia="TimesNewRomanPSMT" w:cs="Times New Roman"/>
          <w:szCs w:val="24"/>
          <w:lang w:eastAsia="lt-LT"/>
        </w:rPr>
        <w:t xml:space="preserve">Dėl Lietuvos valdžios – Lietuvos Respublikos Seimo, Prezidento ir Vyriausybės, Teismo, kitų Lietuvos valdžios ir institucijų pareigūnų neteisėtų veiksmų ir nusikalstamo neveikimo, funkcijų ir pareigų neatlikimo, politinės ir teisinės korupcijos, kitų nusikaltimų, šiurkščių Lietuvos Respublikos Konstitucijos, Lietuvos Respublikos Tarptautinių sutarčių, Lietuvos Respublikos įstatymų, žmogaus teisių ir laisvių pažeidimų ir absoliučios visapusiškos diskriminacijos ir dėl priimtų teisės aktų prieštaravimo Lietuvos Respublikos Konstitucijai ir dėl reikalavimo nedelsiant kreiptis į Lietuvos Respublikos Konstitucinį Teismą konstitucingumo kontrolei“ nenagrinėti Peticijų įstatyme nustatytais pagrindais, nes nei minėtoje </w:t>
      </w:r>
      <w:r w:rsidR="00656B56" w:rsidRPr="0025634D">
        <w:rPr>
          <w:rFonts w:eastAsia="TimesNewRomanPSMT" w:cs="Times New Roman"/>
          <w:szCs w:val="24"/>
          <w:lang w:eastAsia="lt-LT"/>
        </w:rPr>
        <w:lastRenderedPageBreak/>
        <w:t>pareiškėjo</w:t>
      </w:r>
      <w:r w:rsidR="003B51E5" w:rsidRPr="0025634D">
        <w:rPr>
          <w:rFonts w:eastAsia="TimesNewRomanPSMT" w:cs="Times New Roman"/>
          <w:szCs w:val="24"/>
          <w:lang w:eastAsia="lt-LT"/>
        </w:rPr>
        <w:t xml:space="preserve"> peticijoje, nei skunde pateiktų reikalavimų nagrinėjimas nepriklauso Komisijos kompetencijai.</w:t>
      </w:r>
    </w:p>
    <w:p w:rsidR="003B51E5" w:rsidRPr="0025634D" w:rsidRDefault="003B51E5" w:rsidP="0025634D">
      <w:pPr>
        <w:rPr>
          <w:rFonts w:cs="Times New Roman"/>
          <w:szCs w:val="24"/>
        </w:rPr>
      </w:pPr>
      <w:r w:rsidRPr="0025634D">
        <w:rPr>
          <w:rFonts w:cs="Times New Roman"/>
          <w:szCs w:val="24"/>
        </w:rPr>
        <w:t xml:space="preserve">Lietuvos Respublikos Konstitucijos 33 straipsnio 3 dalyje yra nustatyta, kad piliečiams laiduojama peticijos teisė, kurios įgyvendinimo tvarką nustato įstatymas. Toks įstatymas buvo priimtas 1999 m. liepos 7 d. </w:t>
      </w:r>
      <w:r w:rsidRPr="0025634D">
        <w:rPr>
          <w:rStyle w:val="Typewriter"/>
          <w:rFonts w:ascii="Times New Roman" w:hAnsi="Times New Roman" w:cs="Times New Roman"/>
          <w:sz w:val="24"/>
          <w:szCs w:val="24"/>
        </w:rPr>
        <w:t>Jame yra nustatyta, kad „p</w:t>
      </w:r>
      <w:r w:rsidRPr="0025634D">
        <w:rPr>
          <w:rStyle w:val="Typewriter"/>
          <w:rFonts w:ascii="Times New Roman" w:hAnsi="Times New Roman" w:cs="Times New Roman"/>
          <w:bCs/>
          <w:sz w:val="24"/>
          <w:szCs w:val="24"/>
        </w:rPr>
        <w:t>eticijų komisijos</w:t>
      </w:r>
      <w:r w:rsidRPr="0025634D">
        <w:rPr>
          <w:rStyle w:val="Typewriter"/>
          <w:rFonts w:ascii="Times New Roman" w:hAnsi="Times New Roman" w:cs="Times New Roman"/>
          <w:sz w:val="24"/>
          <w:szCs w:val="24"/>
        </w:rPr>
        <w:t xml:space="preserve"> – nuolatinės komisijos, kurios sprendžia kreipimosi pripažinimo peticija bei peticijų priėmimo nagrinėti klausimus, jas nagrinėja ir pateikia išvadas dėl peticijoje išdėstytų reikalavimų ir siūlymų tenkinimo“.</w:t>
      </w:r>
    </w:p>
    <w:p w:rsidR="003B51E5" w:rsidRPr="0025634D" w:rsidRDefault="003B51E5" w:rsidP="0025634D">
      <w:pPr>
        <w:pStyle w:val="Pagrindiniotekstotrauka"/>
        <w:spacing w:line="360" w:lineRule="auto"/>
        <w:rPr>
          <w:lang w:val="lt-LT"/>
        </w:rPr>
      </w:pPr>
      <w:r w:rsidRPr="0025634D">
        <w:rPr>
          <w:lang w:val="lt-LT"/>
        </w:rPr>
        <w:t xml:space="preserve">Šiame įstatyme taip pat nustatyta, kad peticijos teisė – tai yra teisė kreiptis į Seimą, Vyriausybę ar savivaldybės institucijas su siūlymais ir reikalavimais, kurių įgyvendinimui reikia priimti naują teisės aktą, pakeisti, papildyti ar pripažinti netekusiu galios galiojantį teisės aktą. </w:t>
      </w:r>
    </w:p>
    <w:p w:rsidR="003B51E5" w:rsidRPr="0025634D" w:rsidRDefault="003B51E5" w:rsidP="0025634D">
      <w:pPr>
        <w:rPr>
          <w:rFonts w:cs="Times New Roman"/>
          <w:szCs w:val="24"/>
        </w:rPr>
      </w:pPr>
      <w:r w:rsidRPr="0025634D">
        <w:rPr>
          <w:rFonts w:cs="Times New Roman"/>
          <w:szCs w:val="24"/>
        </w:rPr>
        <w:t>Lietuvos Respublikos Konstitucinis Teismas 2006 m. sausio 26 d. nutarime „Dėl Peticijų įstatymo 10 straipsnio 1 dalies 2 punkto, 10 straipsnio 4 dalies ir 16 straipsnio atitikties Lietuvos Respublikos Konstitucijai“ pažymėjo, kad „konstitucinė peticijos teisė – viena iš teisių, kurias įgyvendindami piliečiai gali dalyvauti valdant savo šalį. Lietuvos, kaip ir daugelio Europos valstybių, teisės sistemose peticija paprastai suprantama kaip individualus ar kolektyvinis kreipimasis į viešosios valdžios institucijas, kuriame yra išdėstytas reikalavimas (siūlymas) spręsti tam tikrą ne tik pareiškėjui, bet ir visai visuomenei ar jos daliai svarbų klausimą, kai reikia pakeisti, papildyti ar pripažinti netekusiu galios galiojantį arba priimti naują teisės aktą“,</w:t>
      </w:r>
      <w:r w:rsidRPr="0025634D">
        <w:rPr>
          <w:rFonts w:cs="Times New Roman"/>
          <w:b/>
          <w:bCs/>
          <w:szCs w:val="24"/>
        </w:rPr>
        <w:t xml:space="preserve"> </w:t>
      </w:r>
      <w:r w:rsidRPr="0025634D">
        <w:rPr>
          <w:rFonts w:cs="Times New Roman"/>
          <w:szCs w:val="24"/>
        </w:rPr>
        <w:t xml:space="preserve">t. y. peticijos esmę sudaro ne teisės akto projekto teikimas, bet reikalavimas (siūlymas) spręsti tam tikrą klausimą (svarbų jam ar visai visuomenei, ar jos daliai). Minėtame Konstitucinio Teismo nutarime taip pat pažymėta, kad „Konstitucijos 33 straipsnio 2 dalyje įtvirtintos piliečių teisės kritikuoti valstybės įstaigų ar pareigūnų darbą, apskųsti jų sprendimus negalima tapatinti su Konstitucijos 33 straipsnio 3 dalyje įtvirtinta piliečių peticijos teise: kiekviena iš šių teisių turi savo, tik jai būdingą turinį; tai suponuoja </w:t>
      </w:r>
      <w:proofErr w:type="spellStart"/>
      <w:r w:rsidRPr="0025634D">
        <w:rPr>
          <w:rFonts w:cs="Times New Roman"/>
          <w:i/>
          <w:iCs/>
          <w:szCs w:val="24"/>
        </w:rPr>
        <w:t>inter</w:t>
      </w:r>
      <w:proofErr w:type="spellEnd"/>
      <w:r w:rsidRPr="0025634D">
        <w:rPr>
          <w:rFonts w:cs="Times New Roman"/>
          <w:i/>
          <w:iCs/>
          <w:szCs w:val="24"/>
        </w:rPr>
        <w:t xml:space="preserve"> </w:t>
      </w:r>
      <w:proofErr w:type="spellStart"/>
      <w:r w:rsidRPr="0025634D">
        <w:rPr>
          <w:rFonts w:cs="Times New Roman"/>
          <w:i/>
          <w:iCs/>
          <w:szCs w:val="24"/>
        </w:rPr>
        <w:t>alia</w:t>
      </w:r>
      <w:proofErr w:type="spellEnd"/>
      <w:r w:rsidRPr="0025634D">
        <w:rPr>
          <w:rFonts w:cs="Times New Roman"/>
          <w:szCs w:val="24"/>
        </w:rPr>
        <w:t xml:space="preserve"> skirtingą šių teisių įgyvendinimo tvarką, taip pat kai kuriuos jų gynimo ypatumus“. </w:t>
      </w:r>
    </w:p>
    <w:p w:rsidR="003B51E5" w:rsidRPr="0025634D" w:rsidRDefault="003B51E5" w:rsidP="0025634D">
      <w:pPr>
        <w:rPr>
          <w:rFonts w:cs="Times New Roman"/>
          <w:szCs w:val="24"/>
        </w:rPr>
      </w:pPr>
      <w:r w:rsidRPr="0025634D">
        <w:rPr>
          <w:rFonts w:cs="Times New Roman"/>
          <w:szCs w:val="24"/>
        </w:rPr>
        <w:t xml:space="preserve">Nagrinėjant peticijos teisę, Lietuvos konstitucinėje teisėje taip pat labai svarbu ją atskirti nuo asmens skundo, pareiškimo ar pasiūlymo, taip pat nuo piliečių įstatymų leidybos iniciatyvos teisės, </w:t>
      </w:r>
      <w:r w:rsidRPr="0025634D">
        <w:rPr>
          <w:rStyle w:val="Typewriter"/>
          <w:rFonts w:ascii="Times New Roman" w:hAnsi="Times New Roman" w:cs="Times New Roman"/>
          <w:sz w:val="24"/>
          <w:szCs w:val="24"/>
        </w:rPr>
        <w:t>kurių nagrinėjimo tvarką nustato kiti įstatymai ir teisės aktai.</w:t>
      </w:r>
      <w:r w:rsidRPr="0025634D">
        <w:rPr>
          <w:rFonts w:cs="Times New Roman"/>
          <w:bCs/>
          <w:szCs w:val="24"/>
        </w:rPr>
        <w:t xml:space="preserve"> </w:t>
      </w:r>
    </w:p>
    <w:p w:rsidR="003B51E5" w:rsidRPr="0025634D" w:rsidRDefault="00656B56" w:rsidP="0025634D">
      <w:pPr>
        <w:tabs>
          <w:tab w:val="left" w:pos="4395"/>
        </w:tabs>
        <w:autoSpaceDE w:val="0"/>
        <w:autoSpaceDN w:val="0"/>
        <w:adjustRightInd w:val="0"/>
        <w:rPr>
          <w:rFonts w:eastAsia="TimesNewRomanPSMT" w:cs="Times New Roman"/>
          <w:szCs w:val="24"/>
        </w:rPr>
      </w:pPr>
      <w:r w:rsidRPr="0025634D">
        <w:rPr>
          <w:rFonts w:eastAsia="TimesNewRomanPSMT" w:cs="Times New Roman"/>
          <w:szCs w:val="24"/>
        </w:rPr>
        <w:t>Pareiškėjas</w:t>
      </w:r>
      <w:r w:rsidR="003B51E5" w:rsidRPr="0025634D">
        <w:rPr>
          <w:rFonts w:eastAsia="TimesNewRomanPSMT" w:cs="Times New Roman"/>
          <w:szCs w:val="24"/>
        </w:rPr>
        <w:t xml:space="preserve"> savo </w:t>
      </w:r>
      <w:r w:rsidRPr="0025634D">
        <w:rPr>
          <w:rFonts w:eastAsia="TimesNewRomanPSMT" w:cs="Times New Roman"/>
          <w:szCs w:val="24"/>
        </w:rPr>
        <w:t>peticijoje reikalavo</w:t>
      </w:r>
      <w:r w:rsidR="003B51E5" w:rsidRPr="0025634D">
        <w:rPr>
          <w:rFonts w:eastAsia="TimesNewRomanPS-ItalicMT" w:cs="Times New Roman"/>
          <w:iCs/>
          <w:szCs w:val="24"/>
        </w:rPr>
        <w:t xml:space="preserve"> </w:t>
      </w:r>
      <w:r w:rsidR="003B51E5" w:rsidRPr="0025634D">
        <w:rPr>
          <w:rFonts w:eastAsia="TimesNewRomanPSMT" w:cs="Times New Roman"/>
          <w:szCs w:val="24"/>
        </w:rPr>
        <w:t>pradėti apkaltos procesą</w:t>
      </w:r>
      <w:r w:rsidR="003B51E5" w:rsidRPr="0025634D">
        <w:rPr>
          <w:rFonts w:eastAsia="TimesNewRomanPS-ItalicMT" w:cs="Times New Roman"/>
          <w:iCs/>
          <w:szCs w:val="24"/>
        </w:rPr>
        <w:t xml:space="preserve"> Lietuvos Respublikos </w:t>
      </w:r>
      <w:r w:rsidR="003B51E5" w:rsidRPr="0025634D">
        <w:rPr>
          <w:rFonts w:eastAsia="TimesNewRomanPSMT" w:cs="Times New Roman"/>
          <w:szCs w:val="24"/>
        </w:rPr>
        <w:t xml:space="preserve">Prezidentei Daliai Grybauskaitei, </w:t>
      </w:r>
      <w:r w:rsidR="003B51E5" w:rsidRPr="0025634D">
        <w:rPr>
          <w:rFonts w:eastAsia="TimesNewRomanPS-ItalicMT" w:cs="Times New Roman"/>
          <w:iCs/>
          <w:szCs w:val="24"/>
        </w:rPr>
        <w:t xml:space="preserve">Lietuvos Respublikos </w:t>
      </w:r>
      <w:r w:rsidR="003B51E5" w:rsidRPr="0025634D">
        <w:rPr>
          <w:rFonts w:eastAsia="TimesNewRomanPSMT" w:cs="Times New Roman"/>
          <w:szCs w:val="24"/>
        </w:rPr>
        <w:t xml:space="preserve">Seimo Pirmininkei Loretai Graužinienei, Seimo Nacionalinio saugumo ir gynybos komiteto pirmininkui Artūrui Paulauskui, Seimo Žmogaus teisių komiteto pirmininkui </w:t>
      </w:r>
      <w:proofErr w:type="spellStart"/>
      <w:r w:rsidR="003B51E5" w:rsidRPr="0025634D">
        <w:rPr>
          <w:rFonts w:eastAsia="TimesNewRomanPSMT" w:cs="Times New Roman"/>
          <w:szCs w:val="24"/>
        </w:rPr>
        <w:t>Leonard</w:t>
      </w:r>
      <w:proofErr w:type="spellEnd"/>
      <w:r w:rsidR="003B51E5" w:rsidRPr="0025634D">
        <w:rPr>
          <w:rFonts w:eastAsia="TimesNewRomanPSMT" w:cs="Times New Roman"/>
          <w:szCs w:val="24"/>
        </w:rPr>
        <w:t xml:space="preserve"> </w:t>
      </w:r>
      <w:proofErr w:type="spellStart"/>
      <w:r w:rsidR="003B51E5" w:rsidRPr="0025634D">
        <w:rPr>
          <w:rFonts w:eastAsia="TimesNewRomanPSMT" w:cs="Times New Roman"/>
          <w:szCs w:val="24"/>
        </w:rPr>
        <w:t>Talmont</w:t>
      </w:r>
      <w:proofErr w:type="spellEnd"/>
      <w:r w:rsidR="003B51E5" w:rsidRPr="0025634D">
        <w:rPr>
          <w:rFonts w:eastAsia="TimesNewRomanPSMT" w:cs="Times New Roman"/>
          <w:szCs w:val="24"/>
        </w:rPr>
        <w:t xml:space="preserve">, Seimo Antikorupcijos komisijos pirmininkui Vitalijui Gailiui, Seimo Teisės ir teisėtvarkos komiteto pirmininkui Juliui Sabatauskui ir Seimo nariui Vytautui Matulevičiui, Lietuvos Respublikos </w:t>
      </w:r>
      <w:r w:rsidR="003B51E5" w:rsidRPr="0025634D">
        <w:rPr>
          <w:rFonts w:eastAsia="TimesNewRomanPS-ItalicMT" w:cs="Times New Roman"/>
          <w:iCs/>
          <w:szCs w:val="24"/>
        </w:rPr>
        <w:t>gen. prokurorui Dariui Valiui,</w:t>
      </w:r>
      <w:r w:rsidR="003B51E5" w:rsidRPr="0025634D">
        <w:rPr>
          <w:rFonts w:eastAsia="TimesNewRomanPSMT" w:cs="Times New Roman"/>
          <w:szCs w:val="24"/>
        </w:rPr>
        <w:t xml:space="preserve"> Lietuvos Respublikos specialiųjų tyrimų tarnybos direktoriui Sauliui Urbanavičiui, taip pat kreiptis į </w:t>
      </w:r>
      <w:r w:rsidR="003B51E5" w:rsidRPr="0025634D">
        <w:rPr>
          <w:rFonts w:eastAsia="TimesNewRomanPSMT" w:cs="Times New Roman"/>
          <w:szCs w:val="24"/>
        </w:rPr>
        <w:lastRenderedPageBreak/>
        <w:t>Lietuvos Respublikos Konstitucinį Teismą prašant spręsti, ar jų veiksmai ir neveikimas pagal atitinkamus jo skundus neprieštarauja Lietuvos Respublikos Konstitucijai ir/ar jie savo veiksmais ir neveikimu, funkcijų ir pareigų neatlikimu nepažeidė Lietuvos Respublikos Konstituciją ir/ar sulaužė duotą priesaiką.</w:t>
      </w:r>
    </w:p>
    <w:p w:rsidR="003B51E5" w:rsidRPr="0025634D" w:rsidRDefault="003B51E5" w:rsidP="0025634D">
      <w:pPr>
        <w:rPr>
          <w:rFonts w:eastAsia="TimesNewRomanPS-ItalicMT" w:cs="Times New Roman"/>
          <w:iCs/>
          <w:szCs w:val="24"/>
        </w:rPr>
      </w:pPr>
      <w:r w:rsidRPr="0025634D">
        <w:rPr>
          <w:rFonts w:eastAsia="TimesNewRomanPS-ItalicMT" w:cs="Times New Roman"/>
          <w:iCs/>
          <w:szCs w:val="24"/>
        </w:rPr>
        <w:t>Tačiau šių reikalavimų nagrinėjimas nepriklauso Komisijos kompetencijai.</w:t>
      </w:r>
    </w:p>
    <w:p w:rsidR="003B51E5" w:rsidRPr="0025634D" w:rsidRDefault="003B51E5" w:rsidP="0025634D">
      <w:pPr>
        <w:autoSpaceDE w:val="0"/>
        <w:autoSpaceDN w:val="0"/>
        <w:adjustRightInd w:val="0"/>
        <w:rPr>
          <w:rFonts w:cs="Times New Roman"/>
          <w:szCs w:val="24"/>
        </w:rPr>
      </w:pPr>
      <w:r w:rsidRPr="0025634D">
        <w:rPr>
          <w:rFonts w:eastAsia="TimesNewRomanPSMT" w:cs="Times New Roman"/>
          <w:szCs w:val="24"/>
        </w:rPr>
        <w:t xml:space="preserve">Pagal Lietuvos Respublikos Konstitucijos 74 straipsnį </w:t>
      </w:r>
      <w:r w:rsidRPr="0025634D">
        <w:rPr>
          <w:rFonts w:cs="Times New Roman"/>
          <w:szCs w:val="24"/>
        </w:rPr>
        <w:t>Respublikos Prezidentą, Konstitucinio Teismo pirmininką ir teisėjus, Aukščiausiojo Teismo pirmininką ir teisėjus, Apeliacinio teismo pirmininką ir teisėjus, Seimo narius, šiurkščiai pažeidusius Konstituciją arba sulaužiusius priesaiką, taip pat paaiškėjus, jog padarytas nusikaltimas, Seimas 3/5 visų narių balsų dauguma gali pašalinti iš užimamų pareigų ar panaikinti Seimo nario mandatą. Tai atliekama apkaltos proceso tvarka, kurią nustato Seimo statutas.</w:t>
      </w:r>
    </w:p>
    <w:p w:rsidR="003B51E5" w:rsidRPr="0025634D" w:rsidRDefault="003B51E5" w:rsidP="0025634D">
      <w:pPr>
        <w:autoSpaceDE w:val="0"/>
        <w:autoSpaceDN w:val="0"/>
        <w:adjustRightInd w:val="0"/>
        <w:rPr>
          <w:rFonts w:eastAsia="TimesNewRomanPSMT" w:cs="Times New Roman"/>
          <w:szCs w:val="24"/>
        </w:rPr>
      </w:pPr>
      <w:r w:rsidRPr="0025634D">
        <w:rPr>
          <w:rFonts w:cs="Times New Roman"/>
          <w:szCs w:val="24"/>
        </w:rPr>
        <w:t>Pagal Lietuvos Respublikos Seimo statuto 228 straipsnį teikti Seimui pradėti apkaltos procesą Konstitucijos 74 straipsnyje nurodytam asmeniui turi teisę ne mažesnė kaip 1/4 Seimo narių grupė, o šio statuto 78 straipsnio 3 dalyje nustatytu atveju ir Etikos ir procedūrų komisija.</w:t>
      </w:r>
    </w:p>
    <w:p w:rsidR="003B51E5" w:rsidRPr="0025634D" w:rsidRDefault="003B51E5" w:rsidP="0025634D">
      <w:pPr>
        <w:autoSpaceDE w:val="0"/>
        <w:autoSpaceDN w:val="0"/>
        <w:adjustRightInd w:val="0"/>
        <w:rPr>
          <w:rStyle w:val="apple-style-span"/>
          <w:rFonts w:cs="Times New Roman"/>
          <w:szCs w:val="24"/>
        </w:rPr>
      </w:pPr>
      <w:r w:rsidRPr="0025634D">
        <w:rPr>
          <w:rFonts w:eastAsia="TimesNewRomanPS-ItalicMT" w:cs="Times New Roman"/>
          <w:iCs/>
          <w:szCs w:val="24"/>
        </w:rPr>
        <w:t>Seimo statuto 78 straipsnio 3 dalyje nustatyta, kad j</w:t>
      </w:r>
      <w:r w:rsidRPr="0025634D">
        <w:rPr>
          <w:rFonts w:cs="Times New Roman"/>
          <w:szCs w:val="24"/>
        </w:rPr>
        <w:t xml:space="preserve">eigu tiriant Seimo nario veiklą kyla įtarimų, kad Seimo narys galimai šiurkščiai pažeidė </w:t>
      </w:r>
      <w:r w:rsidRPr="0025634D">
        <w:rPr>
          <w:rStyle w:val="apple-style-span"/>
          <w:rFonts w:cs="Times New Roman"/>
          <w:szCs w:val="24"/>
        </w:rPr>
        <w:t>Konstituciją ir (ar) sulaužė priesaiką, Etikos ir procedūrų komisija ne mažesne kaip 4/5 visų komisijos narių balsų dauguma siūlo Seimui pradėti Seimo nariui apkaltos procesą.</w:t>
      </w:r>
    </w:p>
    <w:p w:rsidR="003B51E5" w:rsidRPr="0025634D" w:rsidRDefault="003B51E5" w:rsidP="0025634D">
      <w:pPr>
        <w:autoSpaceDE w:val="0"/>
        <w:autoSpaceDN w:val="0"/>
        <w:adjustRightInd w:val="0"/>
        <w:rPr>
          <w:rFonts w:eastAsia="TimesNewRomanPSMT" w:cs="Times New Roman"/>
          <w:szCs w:val="24"/>
        </w:rPr>
      </w:pPr>
      <w:r w:rsidRPr="0025634D">
        <w:rPr>
          <w:rFonts w:cs="Times New Roman"/>
          <w:szCs w:val="24"/>
        </w:rPr>
        <w:t>Taigi teikti Seimui pradėti apkaltos procesą Lietuvos Respublikos Prezidentei turi teisę ne mažesnė kaip 1/4 Seimo narių grupė, o Seimo nariui – dar ir Seimo Etikos ir procedūrų komisija.</w:t>
      </w:r>
    </w:p>
    <w:p w:rsidR="003B51E5" w:rsidRPr="0025634D" w:rsidRDefault="003B51E5" w:rsidP="0025634D">
      <w:pPr>
        <w:autoSpaceDE w:val="0"/>
        <w:autoSpaceDN w:val="0"/>
        <w:adjustRightInd w:val="0"/>
        <w:rPr>
          <w:rFonts w:cs="Times New Roman"/>
          <w:szCs w:val="24"/>
        </w:rPr>
      </w:pPr>
      <w:r w:rsidRPr="0025634D">
        <w:rPr>
          <w:rFonts w:cs="Times New Roman"/>
          <w:szCs w:val="24"/>
        </w:rPr>
        <w:t>Pagal Lietuvos Respublikos Konstitucijos 118 straipsnį generalinį prokurorą skiria ir atleidžia Respublikos Prezidentas Seimo pritarimu.</w:t>
      </w:r>
    </w:p>
    <w:p w:rsidR="003B51E5" w:rsidRPr="0025634D" w:rsidRDefault="003B51E5" w:rsidP="0025634D">
      <w:pPr>
        <w:autoSpaceDE w:val="0"/>
        <w:autoSpaceDN w:val="0"/>
        <w:adjustRightInd w:val="0"/>
        <w:rPr>
          <w:rStyle w:val="normal-h"/>
          <w:rFonts w:cs="Times New Roman"/>
          <w:color w:val="000000"/>
          <w:szCs w:val="24"/>
        </w:rPr>
      </w:pPr>
      <w:r w:rsidRPr="0025634D">
        <w:rPr>
          <w:rStyle w:val="normal-h"/>
          <w:rFonts w:cs="Times New Roman"/>
          <w:color w:val="000000"/>
          <w:szCs w:val="24"/>
        </w:rPr>
        <w:t>Pagal Lietuvos Respublikos specialiųjų tyrimų tarnybos įstatymo 11 straipsnį specialiųjų tyrimų tarnybos direktoriaus kandidatūrą teikia Seimui ir, šiam pritarus, Specialiųjų tyrimų tarnybos direktorių į pareigas skiria ir iš pareigų atleidžia Respublikos Prezidentas.</w:t>
      </w:r>
    </w:p>
    <w:p w:rsidR="003B51E5" w:rsidRPr="0025634D" w:rsidRDefault="003B51E5" w:rsidP="0025634D">
      <w:pPr>
        <w:autoSpaceDE w:val="0"/>
        <w:autoSpaceDN w:val="0"/>
        <w:adjustRightInd w:val="0"/>
        <w:rPr>
          <w:rStyle w:val="normal-h"/>
          <w:rFonts w:cs="Times New Roman"/>
          <w:color w:val="000000"/>
          <w:szCs w:val="24"/>
        </w:rPr>
      </w:pPr>
      <w:r w:rsidRPr="0025634D">
        <w:rPr>
          <w:rStyle w:val="normal-h"/>
          <w:rFonts w:cs="Times New Roman"/>
          <w:color w:val="000000"/>
          <w:szCs w:val="24"/>
        </w:rPr>
        <w:t xml:space="preserve">Apie visa tai </w:t>
      </w:r>
      <w:r w:rsidR="00656B56" w:rsidRPr="0025634D">
        <w:rPr>
          <w:rStyle w:val="normal-h"/>
          <w:rFonts w:cs="Times New Roman"/>
          <w:color w:val="000000"/>
          <w:szCs w:val="24"/>
        </w:rPr>
        <w:t>pareiškėjas buvo</w:t>
      </w:r>
      <w:r w:rsidRPr="0025634D">
        <w:rPr>
          <w:rStyle w:val="normal-h"/>
          <w:rFonts w:cs="Times New Roman"/>
          <w:color w:val="000000"/>
          <w:szCs w:val="24"/>
        </w:rPr>
        <w:t xml:space="preserve"> informuotas Komisijos 2015 m. balandžio 23 d. raštu</w:t>
      </w:r>
      <w:r w:rsidR="00656B56" w:rsidRPr="0025634D">
        <w:rPr>
          <w:rStyle w:val="normal-h"/>
          <w:rFonts w:cs="Times New Roman"/>
          <w:color w:val="000000"/>
          <w:szCs w:val="24"/>
        </w:rPr>
        <w:t>.</w:t>
      </w:r>
      <w:r w:rsidRPr="0025634D">
        <w:rPr>
          <w:rStyle w:val="normal-h"/>
          <w:rFonts w:cs="Times New Roman"/>
          <w:color w:val="000000"/>
          <w:szCs w:val="24"/>
        </w:rPr>
        <w:t xml:space="preserve"> </w:t>
      </w:r>
      <w:r w:rsidR="00656B56" w:rsidRPr="0025634D">
        <w:rPr>
          <w:rStyle w:val="normal-h"/>
          <w:rFonts w:cs="Times New Roman"/>
          <w:color w:val="000000"/>
          <w:szCs w:val="24"/>
        </w:rPr>
        <w:t xml:space="preserve"> </w:t>
      </w:r>
    </w:p>
    <w:p w:rsidR="003B51E5" w:rsidRPr="0025634D" w:rsidRDefault="00656B56" w:rsidP="0025634D">
      <w:pPr>
        <w:autoSpaceDE w:val="0"/>
        <w:autoSpaceDN w:val="0"/>
        <w:adjustRightInd w:val="0"/>
        <w:rPr>
          <w:rFonts w:cs="Times New Roman"/>
          <w:szCs w:val="24"/>
        </w:rPr>
      </w:pPr>
      <w:r w:rsidRPr="0025634D">
        <w:rPr>
          <w:rFonts w:cs="Times New Roman"/>
          <w:szCs w:val="24"/>
        </w:rPr>
        <w:t>Pareiškėjas</w:t>
      </w:r>
      <w:r w:rsidR="003B51E5" w:rsidRPr="0025634D">
        <w:rPr>
          <w:rFonts w:cs="Times New Roman"/>
          <w:szCs w:val="24"/>
        </w:rPr>
        <w:t xml:space="preserve"> savo skunde, adresuotame Seimo Pirmininkei Lo</w:t>
      </w:r>
      <w:r w:rsidRPr="0025634D">
        <w:rPr>
          <w:rFonts w:cs="Times New Roman"/>
          <w:szCs w:val="24"/>
        </w:rPr>
        <w:t>retai Graužinienei, reikalauja</w:t>
      </w:r>
      <w:r w:rsidR="003B51E5" w:rsidRPr="0025634D">
        <w:rPr>
          <w:rFonts w:cs="Times New Roman"/>
          <w:szCs w:val="24"/>
        </w:rPr>
        <w:t>:</w:t>
      </w:r>
    </w:p>
    <w:p w:rsidR="003B51E5" w:rsidRPr="0025634D" w:rsidRDefault="003B51E5" w:rsidP="0025634D">
      <w:pPr>
        <w:autoSpaceDE w:val="0"/>
        <w:autoSpaceDN w:val="0"/>
        <w:adjustRightInd w:val="0"/>
        <w:rPr>
          <w:rFonts w:cs="Times New Roman"/>
          <w:szCs w:val="24"/>
        </w:rPr>
      </w:pPr>
      <w:r w:rsidRPr="0025634D">
        <w:rPr>
          <w:rFonts w:cs="Times New Roman"/>
          <w:szCs w:val="24"/>
        </w:rPr>
        <w:t xml:space="preserve">„1. Užtikrinti konstitucinę žmogaus peticijos teisę – pareiškėjo Valerijaus Kazakevičiaus teisę į peticiją. Panaikinti neteisėtą, šališką, neskaidrų, neargumentuotą ir nemotyvuotą, galimai antikonstitucinį 2015 m. balandžio 22 d. Lietuvos Respublikos Seimo Peticijų komisijos sprendimą, nenagrinėti 2015 m. balandžio 7 d. peticijos </w:t>
      </w:r>
      <w:proofErr w:type="spellStart"/>
      <w:r w:rsidRPr="0025634D">
        <w:rPr>
          <w:rFonts w:cs="Times New Roman"/>
          <w:szCs w:val="24"/>
        </w:rPr>
        <w:t>reg</w:t>
      </w:r>
      <w:proofErr w:type="spellEnd"/>
      <w:r w:rsidRPr="0025634D">
        <w:rPr>
          <w:rFonts w:cs="Times New Roman"/>
          <w:szCs w:val="24"/>
        </w:rPr>
        <w:t>. Nr. g. 2015-2962 ir imtis veiksmų išsamiai ją išnagrinėti.</w:t>
      </w:r>
    </w:p>
    <w:p w:rsidR="003B51E5" w:rsidRPr="0025634D" w:rsidRDefault="003B51E5" w:rsidP="0025634D">
      <w:pPr>
        <w:autoSpaceDE w:val="0"/>
        <w:autoSpaceDN w:val="0"/>
        <w:adjustRightInd w:val="0"/>
        <w:rPr>
          <w:rFonts w:cs="Times New Roman"/>
          <w:szCs w:val="24"/>
        </w:rPr>
      </w:pPr>
      <w:r w:rsidRPr="0025634D">
        <w:rPr>
          <w:rFonts w:eastAsia="TimesNewRomanPS-ItalicMT" w:cs="Times New Roman"/>
          <w:iCs/>
          <w:szCs w:val="24"/>
        </w:rPr>
        <w:t>2.</w:t>
      </w:r>
      <w:r w:rsidRPr="0025634D">
        <w:rPr>
          <w:rFonts w:eastAsia="TimesNewRomanPS-ItalicMT" w:cs="Times New Roman"/>
          <w:i/>
          <w:iCs/>
          <w:szCs w:val="24"/>
        </w:rPr>
        <w:t xml:space="preserve"> </w:t>
      </w:r>
      <w:r w:rsidRPr="0025634D">
        <w:rPr>
          <w:rFonts w:cs="Times New Roman"/>
          <w:szCs w:val="24"/>
        </w:rPr>
        <w:t xml:space="preserve">Kreiptis į Lietuvos Respublikos Konstitucinį Teismą su prašymu spręsti ar Lietuvos Respublikos Seimo peticijų komisijos 2015 m balandžio 22 d. priimtas sprendimas ir 2015 m. balandžio 23 d. aktas Nr. S-2015-2405 savo turiniu ir priėmimo tvarka neprieštarauja Lietuvos </w:t>
      </w:r>
      <w:r w:rsidRPr="0025634D">
        <w:rPr>
          <w:rFonts w:cs="Times New Roman"/>
          <w:szCs w:val="24"/>
        </w:rPr>
        <w:lastRenderedPageBreak/>
        <w:t xml:space="preserve">Respublikos Konstitucijos 7 straipsnio 1 ir 2 ir/ar Lietuvos Respublikos Seimo peticijų komisijos pirmininko Petro </w:t>
      </w:r>
      <w:proofErr w:type="spellStart"/>
      <w:r w:rsidRPr="0025634D">
        <w:rPr>
          <w:rFonts w:cs="Times New Roman"/>
          <w:szCs w:val="24"/>
        </w:rPr>
        <w:t>Čimbaro</w:t>
      </w:r>
      <w:proofErr w:type="spellEnd"/>
      <w:r w:rsidRPr="0025634D">
        <w:rPr>
          <w:rFonts w:cs="Times New Roman"/>
          <w:szCs w:val="24"/>
        </w:rPr>
        <w:t xml:space="preserve">, kitų Lietuvos Respublikos Seimo peticijų komisijos narių, vedėjos Janinos </w:t>
      </w:r>
      <w:proofErr w:type="spellStart"/>
      <w:r w:rsidRPr="0025634D">
        <w:rPr>
          <w:rFonts w:cs="Times New Roman"/>
          <w:szCs w:val="24"/>
        </w:rPr>
        <w:t>Šniaukštienės</w:t>
      </w:r>
      <w:proofErr w:type="spellEnd"/>
      <w:r w:rsidRPr="0025634D">
        <w:rPr>
          <w:rFonts w:cs="Times New Roman"/>
          <w:szCs w:val="24"/>
        </w:rPr>
        <w:t xml:space="preserve"> veiksmai ir neveikimas neprieštarauja Lietuvos Respublikos Konstitucijai bei Konstitucijos preambulėje įtvirtintiems teisingumo ir teisinės valstybės principams.</w:t>
      </w:r>
    </w:p>
    <w:p w:rsidR="003B51E5" w:rsidRPr="0025634D" w:rsidRDefault="003B51E5" w:rsidP="0025634D">
      <w:pPr>
        <w:autoSpaceDE w:val="0"/>
        <w:autoSpaceDN w:val="0"/>
        <w:adjustRightInd w:val="0"/>
        <w:rPr>
          <w:rFonts w:cs="Times New Roman"/>
          <w:szCs w:val="24"/>
        </w:rPr>
      </w:pPr>
      <w:r w:rsidRPr="0025634D">
        <w:rPr>
          <w:rFonts w:cs="Times New Roman"/>
          <w:szCs w:val="24"/>
        </w:rPr>
        <w:t xml:space="preserve">3. Apsaugoti pažeistas žmogaus teises ir laisves, tinkamai, išsamiai ir kokybiškai išnagrinėti 2015 m. balandžio 7 d. peticiją </w:t>
      </w:r>
      <w:proofErr w:type="spellStart"/>
      <w:r w:rsidRPr="0025634D">
        <w:rPr>
          <w:rFonts w:cs="Times New Roman"/>
          <w:szCs w:val="24"/>
        </w:rPr>
        <w:t>reg</w:t>
      </w:r>
      <w:proofErr w:type="spellEnd"/>
      <w:r w:rsidRPr="0025634D">
        <w:rPr>
          <w:rFonts w:cs="Times New Roman"/>
          <w:szCs w:val="24"/>
        </w:rPr>
        <w:t xml:space="preserve">. Nr. g. 2015-2962 bei joje visus išdėstytus reikalavimus ir siūlymus bei kreiptis į Lietuvos Respublikos Konstitucinį Teismą konstitucingumo kontrolei dėl visų prašymų išdėstytų 2015 m. balandžio 7 d. peticijoje </w:t>
      </w:r>
      <w:proofErr w:type="spellStart"/>
      <w:r w:rsidRPr="0025634D">
        <w:rPr>
          <w:rFonts w:cs="Times New Roman"/>
          <w:szCs w:val="24"/>
        </w:rPr>
        <w:t>reg</w:t>
      </w:r>
      <w:proofErr w:type="spellEnd"/>
      <w:r w:rsidRPr="0025634D">
        <w:rPr>
          <w:rFonts w:cs="Times New Roman"/>
          <w:szCs w:val="24"/>
        </w:rPr>
        <w:t>. Nr. g. 2015—2962.</w:t>
      </w:r>
    </w:p>
    <w:p w:rsidR="003B51E5" w:rsidRPr="0025634D" w:rsidRDefault="003B51E5" w:rsidP="0025634D">
      <w:pPr>
        <w:autoSpaceDE w:val="0"/>
        <w:autoSpaceDN w:val="0"/>
        <w:adjustRightInd w:val="0"/>
        <w:rPr>
          <w:rFonts w:cs="Times New Roman"/>
          <w:szCs w:val="24"/>
        </w:rPr>
      </w:pPr>
      <w:r w:rsidRPr="0025634D">
        <w:rPr>
          <w:rFonts w:cs="Times New Roman"/>
          <w:szCs w:val="24"/>
        </w:rPr>
        <w:t xml:space="preserve">4. Užtikrinti žmogaus teisių ir laisvių apsaugą, teisinį žmogaus saugumą, užkirsti kelią aukščiausio lygio politinei ir teisinei korupcijai, kreiptis į Lietuvos Respublikos Konstitucinį Teismą su prašymu spręsti ar kreiptis į Lietuvos Respublikos Konstitucinį Teismą konstitucingumo kontrolės, prašant spręsti ar Lietuvos Respublikos Konstitucijos 106 straipsnyje įtvirtinta teisės norma, kurioje įtvirtintas draudimas Lietuvos Respublikos piliečiams tiesiogiai kreiptis į Lietuvos Respublikos Konstitucinį Teismą neprieštarauja Lietuvos Respublikos Konstitucijos 1 str., 2 str., 3 str., 4 str., 5 str., 6 str., 7 str. 18 str., 28 str., 29 str., 30 str., 33 str., 102 str., 103 str., 104 str., 105 str., 107 str. bei Lietuvos Respublikos Konstitucijos viršenybės, teisingumo ir teisinės valstybės, demokratijos ir suvereniteto, žmogaus teisių ir laisvių apsaugos, teisinio saugumo, ekonomiškumo, </w:t>
      </w:r>
      <w:proofErr w:type="spellStart"/>
      <w:r w:rsidRPr="0025634D">
        <w:rPr>
          <w:rFonts w:cs="Times New Roman"/>
          <w:szCs w:val="24"/>
        </w:rPr>
        <w:t>subsidiarumo</w:t>
      </w:r>
      <w:proofErr w:type="spellEnd"/>
      <w:r w:rsidRPr="0025634D">
        <w:rPr>
          <w:rFonts w:cs="Times New Roman"/>
          <w:szCs w:val="24"/>
        </w:rPr>
        <w:t xml:space="preserve"> ir proporcingumo principams.“</w:t>
      </w:r>
    </w:p>
    <w:p w:rsidR="003B51E5" w:rsidRPr="0025634D" w:rsidRDefault="003B51E5" w:rsidP="0025634D">
      <w:pPr>
        <w:autoSpaceDE w:val="0"/>
        <w:autoSpaceDN w:val="0"/>
        <w:adjustRightInd w:val="0"/>
        <w:rPr>
          <w:rFonts w:cs="Times New Roman"/>
          <w:szCs w:val="24"/>
        </w:rPr>
      </w:pPr>
      <w:r w:rsidRPr="0025634D">
        <w:rPr>
          <w:rStyle w:val="normal-h"/>
          <w:rFonts w:cs="Times New Roman"/>
          <w:color w:val="000000"/>
          <w:szCs w:val="24"/>
        </w:rPr>
        <w:t>Tačiau pagal Lietuvos Respublikos Konstitucijos 105 straipsnį „</w:t>
      </w:r>
      <w:r w:rsidRPr="0025634D">
        <w:rPr>
          <w:rFonts w:cs="Times New Roman"/>
          <w:szCs w:val="24"/>
        </w:rPr>
        <w:t>Konstitucinis Teismas nagrinėja ir priima sprendimą, ar neprieštarauja Lietuvos Respublikos Konstitucijai Lietuvos Respublikos įstatymai ir kiti Seimo priimti aktai.</w:t>
      </w:r>
    </w:p>
    <w:p w:rsidR="003B51E5" w:rsidRPr="0025634D" w:rsidRDefault="003B51E5" w:rsidP="0025634D">
      <w:pPr>
        <w:autoSpaceDE w:val="0"/>
        <w:autoSpaceDN w:val="0"/>
        <w:adjustRightInd w:val="0"/>
        <w:rPr>
          <w:rFonts w:cs="Times New Roman"/>
          <w:szCs w:val="24"/>
        </w:rPr>
      </w:pPr>
      <w:r w:rsidRPr="0025634D">
        <w:rPr>
          <w:rFonts w:cs="Times New Roman"/>
          <w:szCs w:val="24"/>
        </w:rPr>
        <w:t>Konstitucinis Teismas taip pat nagrinėja, ar neprieštarauja Konstitucijai ir įstatymams:</w:t>
      </w:r>
    </w:p>
    <w:p w:rsidR="003B51E5" w:rsidRPr="0025634D" w:rsidRDefault="003B51E5" w:rsidP="0025634D">
      <w:pPr>
        <w:autoSpaceDE w:val="0"/>
        <w:autoSpaceDN w:val="0"/>
        <w:adjustRightInd w:val="0"/>
        <w:rPr>
          <w:rFonts w:cs="Times New Roman"/>
          <w:szCs w:val="24"/>
        </w:rPr>
      </w:pPr>
      <w:r w:rsidRPr="0025634D">
        <w:rPr>
          <w:rFonts w:cs="Times New Roman"/>
          <w:szCs w:val="24"/>
        </w:rPr>
        <w:t>1) Respublikos Prezidento aktai;</w:t>
      </w:r>
    </w:p>
    <w:p w:rsidR="003B51E5" w:rsidRPr="0025634D" w:rsidRDefault="003B51E5" w:rsidP="0025634D">
      <w:pPr>
        <w:autoSpaceDE w:val="0"/>
        <w:autoSpaceDN w:val="0"/>
        <w:adjustRightInd w:val="0"/>
        <w:rPr>
          <w:rFonts w:cs="Times New Roman"/>
          <w:szCs w:val="24"/>
        </w:rPr>
      </w:pPr>
      <w:r w:rsidRPr="0025634D">
        <w:rPr>
          <w:rFonts w:cs="Times New Roman"/>
          <w:szCs w:val="24"/>
        </w:rPr>
        <w:t>2) Respublikos Vyriausybės aktai.</w:t>
      </w:r>
    </w:p>
    <w:p w:rsidR="003B51E5" w:rsidRPr="0025634D" w:rsidRDefault="003B51E5" w:rsidP="0025634D">
      <w:pPr>
        <w:autoSpaceDE w:val="0"/>
        <w:autoSpaceDN w:val="0"/>
        <w:adjustRightInd w:val="0"/>
        <w:rPr>
          <w:rFonts w:cs="Times New Roman"/>
          <w:szCs w:val="24"/>
        </w:rPr>
      </w:pPr>
      <w:r w:rsidRPr="0025634D">
        <w:rPr>
          <w:rFonts w:cs="Times New Roman"/>
          <w:szCs w:val="24"/>
        </w:rPr>
        <w:t>Konstitucinis Teismas teikia išvadas:</w:t>
      </w:r>
    </w:p>
    <w:p w:rsidR="003B51E5" w:rsidRPr="0025634D" w:rsidRDefault="003B51E5" w:rsidP="0025634D">
      <w:pPr>
        <w:autoSpaceDE w:val="0"/>
        <w:autoSpaceDN w:val="0"/>
        <w:adjustRightInd w:val="0"/>
        <w:rPr>
          <w:rFonts w:cs="Times New Roman"/>
          <w:szCs w:val="24"/>
        </w:rPr>
      </w:pPr>
      <w:r w:rsidRPr="0025634D">
        <w:rPr>
          <w:rFonts w:cs="Times New Roman"/>
          <w:szCs w:val="24"/>
        </w:rPr>
        <w:t>1) ar nebuvo pažeisti rinkimų įstatymai per Respublikos Prezidento ar Seimo narių rinkimus;</w:t>
      </w:r>
    </w:p>
    <w:p w:rsidR="003B51E5" w:rsidRPr="0025634D" w:rsidRDefault="003B51E5" w:rsidP="0025634D">
      <w:pPr>
        <w:autoSpaceDE w:val="0"/>
        <w:autoSpaceDN w:val="0"/>
        <w:adjustRightInd w:val="0"/>
        <w:rPr>
          <w:rFonts w:cs="Times New Roman"/>
          <w:szCs w:val="24"/>
        </w:rPr>
      </w:pPr>
      <w:r w:rsidRPr="0025634D">
        <w:rPr>
          <w:rFonts w:cs="Times New Roman"/>
          <w:szCs w:val="24"/>
        </w:rPr>
        <w:t>2) ar Respublikos Prezidento sveikatos būklė leidžia jam ir toliau eiti pareigas;</w:t>
      </w:r>
    </w:p>
    <w:p w:rsidR="003B51E5" w:rsidRPr="0025634D" w:rsidRDefault="003B51E5" w:rsidP="0025634D">
      <w:pPr>
        <w:autoSpaceDE w:val="0"/>
        <w:autoSpaceDN w:val="0"/>
        <w:adjustRightInd w:val="0"/>
        <w:rPr>
          <w:rFonts w:cs="Times New Roman"/>
          <w:szCs w:val="24"/>
        </w:rPr>
      </w:pPr>
      <w:r w:rsidRPr="0025634D">
        <w:rPr>
          <w:rFonts w:cs="Times New Roman"/>
          <w:szCs w:val="24"/>
        </w:rPr>
        <w:t>3) ar Lietuvos Respublikos tarptautinės sutartys neprieštarauja Konstitucijai;</w:t>
      </w:r>
    </w:p>
    <w:p w:rsidR="003B51E5" w:rsidRDefault="003B51E5" w:rsidP="0025634D">
      <w:pPr>
        <w:autoSpaceDE w:val="0"/>
        <w:autoSpaceDN w:val="0"/>
        <w:adjustRightInd w:val="0"/>
        <w:rPr>
          <w:rFonts w:cs="Times New Roman"/>
          <w:szCs w:val="24"/>
        </w:rPr>
      </w:pPr>
      <w:r w:rsidRPr="0025634D">
        <w:rPr>
          <w:rFonts w:cs="Times New Roman"/>
          <w:szCs w:val="24"/>
        </w:rPr>
        <w:t>4) ar Seimo narių ir valstybės pareigūnų, kuriems pradėta apkaltos byla, konkretūs veiksmai prieštarauja Konstitucijai.“</w:t>
      </w:r>
    </w:p>
    <w:p w:rsidR="002E468F" w:rsidRDefault="002E468F" w:rsidP="0025634D">
      <w:pPr>
        <w:autoSpaceDE w:val="0"/>
        <w:autoSpaceDN w:val="0"/>
        <w:adjustRightInd w:val="0"/>
        <w:rPr>
          <w:rFonts w:cs="Times New Roman"/>
          <w:szCs w:val="24"/>
        </w:rPr>
      </w:pPr>
    </w:p>
    <w:p w:rsidR="002E468F" w:rsidRPr="0025634D" w:rsidRDefault="002E468F" w:rsidP="0025634D">
      <w:pPr>
        <w:autoSpaceDE w:val="0"/>
        <w:autoSpaceDN w:val="0"/>
        <w:adjustRightInd w:val="0"/>
        <w:rPr>
          <w:rFonts w:cs="Times New Roman"/>
          <w:szCs w:val="24"/>
        </w:rPr>
      </w:pPr>
      <w:bookmarkStart w:id="0" w:name="_GoBack"/>
      <w:bookmarkEnd w:id="0"/>
    </w:p>
    <w:p w:rsidR="002D59E3" w:rsidRPr="0025634D" w:rsidRDefault="000C05E1" w:rsidP="0025634D">
      <w:pPr>
        <w:ind w:firstLine="0"/>
        <w:rPr>
          <w:rFonts w:cs="Times New Roman"/>
          <w:szCs w:val="24"/>
        </w:rPr>
      </w:pPr>
      <w:r w:rsidRPr="0025634D">
        <w:rPr>
          <w:rFonts w:cs="Times New Roman"/>
          <w:szCs w:val="24"/>
        </w:rPr>
        <w:t xml:space="preserve">Komisijų biuro patarėja Janina </w:t>
      </w:r>
      <w:proofErr w:type="spellStart"/>
      <w:r w:rsidRPr="0025634D">
        <w:rPr>
          <w:rFonts w:cs="Times New Roman"/>
          <w:szCs w:val="24"/>
        </w:rPr>
        <w:t>Šniaukštienė</w:t>
      </w:r>
      <w:proofErr w:type="spellEnd"/>
      <w:r w:rsidRPr="0025634D">
        <w:rPr>
          <w:rFonts w:cs="Times New Roman"/>
          <w:szCs w:val="24"/>
        </w:rPr>
        <w:t>, tel. (8 5) 239 6819, el. p. jasnia@lrs.lt</w:t>
      </w:r>
    </w:p>
    <w:sectPr w:rsidR="002D59E3" w:rsidRPr="0025634D" w:rsidSect="00236D6B">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5748" w:rsidRDefault="00E75748" w:rsidP="00236D6B">
      <w:pPr>
        <w:spacing w:line="240" w:lineRule="auto"/>
      </w:pPr>
      <w:r>
        <w:separator/>
      </w:r>
    </w:p>
  </w:endnote>
  <w:endnote w:type="continuationSeparator" w:id="0">
    <w:p w:rsidR="00E75748" w:rsidRDefault="00E75748" w:rsidP="00236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Courier New">
    <w:panose1 w:val="02070309020205020404"/>
    <w:charset w:val="BA"/>
    <w:family w:val="modern"/>
    <w:pitch w:val="fixed"/>
    <w:sig w:usb0="E0002AFF" w:usb1="C0007843" w:usb2="00000009" w:usb3="00000000" w:csb0="000001FF" w:csb1="00000000"/>
  </w:font>
  <w:font w:name="TimesNewRomanPSMT">
    <w:altName w:val="MS Mincho"/>
    <w:panose1 w:val="00000000000000000000"/>
    <w:charset w:val="80"/>
    <w:family w:val="auto"/>
    <w:notTrueType/>
    <w:pitch w:val="default"/>
    <w:sig w:usb0="00000005" w:usb1="08070000" w:usb2="00000010" w:usb3="00000000" w:csb0="00020002" w:csb1="00000000"/>
  </w:font>
  <w:font w:name="Calibri-Bold">
    <w:altName w:val="MS Mincho"/>
    <w:panose1 w:val="00000000000000000000"/>
    <w:charset w:val="80"/>
    <w:family w:val="auto"/>
    <w:notTrueType/>
    <w:pitch w:val="default"/>
    <w:sig w:usb0="00000000"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TimesNewRomanPS-ItalicMT">
    <w:altName w:val="MS Mincho"/>
    <w:panose1 w:val="00000000000000000000"/>
    <w:charset w:val="80"/>
    <w:family w:val="auto"/>
    <w:notTrueType/>
    <w:pitch w:val="default"/>
    <w:sig w:usb0="00000005" w:usb1="08070000" w:usb2="00000010" w:usb3="00000000" w:csb0="0002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5748" w:rsidRDefault="00E75748" w:rsidP="00236D6B">
      <w:pPr>
        <w:spacing w:line="240" w:lineRule="auto"/>
      </w:pPr>
      <w:r>
        <w:separator/>
      </w:r>
    </w:p>
  </w:footnote>
  <w:footnote w:type="continuationSeparator" w:id="0">
    <w:p w:rsidR="00E75748" w:rsidRDefault="00E75748" w:rsidP="00236D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337790"/>
      <w:docPartObj>
        <w:docPartGallery w:val="Page Numbers (Top of Page)"/>
        <w:docPartUnique/>
      </w:docPartObj>
    </w:sdtPr>
    <w:sdtEndPr/>
    <w:sdtContent>
      <w:p w:rsidR="00236D6B" w:rsidRDefault="00236D6B">
        <w:pPr>
          <w:pStyle w:val="Antrats"/>
          <w:jc w:val="center"/>
        </w:pPr>
        <w:r>
          <w:fldChar w:fldCharType="begin"/>
        </w:r>
        <w:r>
          <w:instrText>PAGE   \* MERGEFORMAT</w:instrText>
        </w:r>
        <w:r>
          <w:fldChar w:fldCharType="separate"/>
        </w:r>
        <w:r w:rsidR="002E468F">
          <w:rPr>
            <w:noProof/>
          </w:rPr>
          <w:t>20</w:t>
        </w:r>
        <w:r>
          <w:fldChar w:fldCharType="end"/>
        </w:r>
      </w:p>
    </w:sdtContent>
  </w:sdt>
  <w:p w:rsidR="00236D6B" w:rsidRDefault="00236D6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748"/>
    <w:rsid w:val="00050041"/>
    <w:rsid w:val="000C05E1"/>
    <w:rsid w:val="001A47A9"/>
    <w:rsid w:val="00217183"/>
    <w:rsid w:val="00236D6B"/>
    <w:rsid w:val="0025634D"/>
    <w:rsid w:val="002D59E3"/>
    <w:rsid w:val="002E468F"/>
    <w:rsid w:val="00315BB3"/>
    <w:rsid w:val="003B51E5"/>
    <w:rsid w:val="00437B44"/>
    <w:rsid w:val="004415F9"/>
    <w:rsid w:val="00464771"/>
    <w:rsid w:val="004A3875"/>
    <w:rsid w:val="004B6F32"/>
    <w:rsid w:val="005D61C5"/>
    <w:rsid w:val="005F38C1"/>
    <w:rsid w:val="00656B56"/>
    <w:rsid w:val="006D195F"/>
    <w:rsid w:val="00701D0D"/>
    <w:rsid w:val="00755752"/>
    <w:rsid w:val="008030ED"/>
    <w:rsid w:val="00851E02"/>
    <w:rsid w:val="00887561"/>
    <w:rsid w:val="008B3C0F"/>
    <w:rsid w:val="009A6A21"/>
    <w:rsid w:val="00AF2742"/>
    <w:rsid w:val="00C1603F"/>
    <w:rsid w:val="00C26569"/>
    <w:rsid w:val="00C7784A"/>
    <w:rsid w:val="00CD41E4"/>
    <w:rsid w:val="00CE336C"/>
    <w:rsid w:val="00D1583B"/>
    <w:rsid w:val="00D52531"/>
    <w:rsid w:val="00D800CA"/>
    <w:rsid w:val="00D84D11"/>
    <w:rsid w:val="00E23F16"/>
    <w:rsid w:val="00E75748"/>
    <w:rsid w:val="00F46148"/>
    <w:rsid w:val="00FD64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E75748"/>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character" w:customStyle="1" w:styleId="Typewriter">
    <w:name w:val="Typewriter"/>
    <w:rsid w:val="00FD6407"/>
    <w:rPr>
      <w:rFonts w:ascii="Courier New" w:hAnsi="Courier New"/>
      <w:sz w:val="20"/>
    </w:rPr>
  </w:style>
  <w:style w:type="character" w:customStyle="1" w:styleId="apple-style-span">
    <w:name w:val="apple-style-span"/>
    <w:basedOn w:val="Numatytasispastraiposriftas"/>
    <w:rsid w:val="003B51E5"/>
  </w:style>
  <w:style w:type="character" w:customStyle="1" w:styleId="normal-h">
    <w:name w:val="normal-h"/>
    <w:basedOn w:val="Numatytasispastraiposriftas"/>
    <w:rsid w:val="003B51E5"/>
  </w:style>
  <w:style w:type="paragraph" w:styleId="Pagrindiniotekstotrauka">
    <w:name w:val="Body Text Indent"/>
    <w:basedOn w:val="prastasis"/>
    <w:link w:val="PagrindiniotekstotraukaDiagrama"/>
    <w:semiHidden/>
    <w:rsid w:val="003B51E5"/>
    <w:pPr>
      <w:spacing w:line="240" w:lineRule="auto"/>
    </w:pPr>
    <w:rPr>
      <w:rFonts w:eastAsia="Times New Roman" w:cs="Times New Roman"/>
      <w:szCs w:val="24"/>
      <w:lang w:val="en-GB"/>
    </w:rPr>
  </w:style>
  <w:style w:type="character" w:customStyle="1" w:styleId="PagrindiniotekstotraukaDiagrama">
    <w:name w:val="Pagrindinio teksto įtrauka Diagrama"/>
    <w:basedOn w:val="Numatytasispastraiposriftas"/>
    <w:link w:val="Pagrindiniotekstotrauka"/>
    <w:semiHidden/>
    <w:rsid w:val="003B51E5"/>
    <w:rPr>
      <w:rFonts w:ascii="Times New Roman" w:eastAsia="Times New Roman" w:hAnsi="Times New Roman" w:cs="Times New Roman"/>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E75748"/>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character" w:customStyle="1" w:styleId="Typewriter">
    <w:name w:val="Typewriter"/>
    <w:rsid w:val="00FD6407"/>
    <w:rPr>
      <w:rFonts w:ascii="Courier New" w:hAnsi="Courier New"/>
      <w:sz w:val="20"/>
    </w:rPr>
  </w:style>
  <w:style w:type="character" w:customStyle="1" w:styleId="apple-style-span">
    <w:name w:val="apple-style-span"/>
    <w:basedOn w:val="Numatytasispastraiposriftas"/>
    <w:rsid w:val="003B51E5"/>
  </w:style>
  <w:style w:type="character" w:customStyle="1" w:styleId="normal-h">
    <w:name w:val="normal-h"/>
    <w:basedOn w:val="Numatytasispastraiposriftas"/>
    <w:rsid w:val="003B51E5"/>
  </w:style>
  <w:style w:type="paragraph" w:styleId="Pagrindiniotekstotrauka">
    <w:name w:val="Body Text Indent"/>
    <w:basedOn w:val="prastasis"/>
    <w:link w:val="PagrindiniotekstotraukaDiagrama"/>
    <w:semiHidden/>
    <w:rsid w:val="003B51E5"/>
    <w:pPr>
      <w:spacing w:line="240" w:lineRule="auto"/>
    </w:pPr>
    <w:rPr>
      <w:rFonts w:eastAsia="Times New Roman" w:cs="Times New Roman"/>
      <w:szCs w:val="24"/>
      <w:lang w:val="en-GB"/>
    </w:rPr>
  </w:style>
  <w:style w:type="character" w:customStyle="1" w:styleId="PagrindiniotekstotraukaDiagrama">
    <w:name w:val="Pagrindinio teksto įtrauka Diagrama"/>
    <w:basedOn w:val="Numatytasispastraiposriftas"/>
    <w:link w:val="Pagrindiniotekstotrauka"/>
    <w:semiHidden/>
    <w:rsid w:val="003B51E5"/>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20</Pages>
  <Words>38264</Words>
  <Characters>21812</Characters>
  <Application>Microsoft Office Word</Application>
  <DocSecurity>0</DocSecurity>
  <Lines>181</Lines>
  <Paragraphs>119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59957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19</cp:revision>
  <dcterms:created xsi:type="dcterms:W3CDTF">2015-06-05T11:03:00Z</dcterms:created>
  <dcterms:modified xsi:type="dcterms:W3CDTF">2015-06-11T04:56:00Z</dcterms:modified>
</cp:coreProperties>
</file>