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0B9" w:rsidRDefault="003E70B9" w:rsidP="003E70B9">
      <w:pPr>
        <w:pStyle w:val="Antrat2"/>
      </w:pPr>
      <w:r>
        <w:t xml:space="preserve">2014 m. rugsėjo 17 d. Seimo Peticijų komisijos posėdžio darbotvarkė  </w:t>
      </w:r>
    </w:p>
    <w:p w:rsidR="003E70B9" w:rsidRDefault="003E70B9" w:rsidP="003E70B9"/>
    <w:p w:rsidR="003E70B9" w:rsidRDefault="003E70B9" w:rsidP="003E70B9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</w:t>
      </w:r>
    </w:p>
    <w:p w:rsidR="003E70B9" w:rsidRDefault="003E70B9" w:rsidP="003E70B9">
      <w:pPr>
        <w:jc w:val="center"/>
        <w:rPr>
          <w:rFonts w:ascii="Times New Roman" w:hAnsi="Times New Roman"/>
          <w:b/>
          <w:sz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7371"/>
      </w:tblGrid>
      <w:tr w:rsidR="003E70B9" w:rsidTr="002B54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Data,</w:t>
            </w:r>
          </w:p>
          <w:p w:rsidR="003E70B9" w:rsidRDefault="003E70B9" w:rsidP="002B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3E70B9" w:rsidRDefault="003E70B9" w:rsidP="002B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3E70B9" w:rsidTr="002B54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2014-09-17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12.30–14.00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pStyle w:val="Pagrindinistekstas"/>
              <w:spacing w:after="0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Rolando Čiapo peticijos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lygtinio paleidimo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nagrinėjimas iš esmės. </w:t>
            </w:r>
          </w:p>
        </w:tc>
      </w:tr>
      <w:tr w:rsidR="003E70B9" w:rsidTr="002B54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2014-09-17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12.30–14.00</w:t>
            </w:r>
          </w:p>
          <w:p w:rsidR="003E70B9" w:rsidRPr="00046D4D" w:rsidRDefault="003E70B9" w:rsidP="002B54E6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Pr="005A3BC8" w:rsidRDefault="003E70B9" w:rsidP="002B54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Eugenijaus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Zemkojaus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ir kitų pareiškėjų peticijos </w:t>
            </w:r>
            <w:r w:rsidRPr="0070751F">
              <w:rPr>
                <w:rFonts w:ascii="Times New Roman" w:hAnsi="Times New Roman"/>
                <w:sz w:val="24"/>
                <w:szCs w:val="24"/>
              </w:rPr>
              <w:t>„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Dėl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būtinybės priimti Bausmių vykdymo kodekso 157 straipsnio 2 dalies 2 punkto papildymą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nagrinėjimas iš esmės.</w:t>
            </w:r>
          </w:p>
          <w:p w:rsidR="003E70B9" w:rsidRDefault="003E70B9" w:rsidP="002B54E6">
            <w:pPr>
              <w:pStyle w:val="Pagrindinistekstas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70B9" w:rsidTr="002B54E6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2014-09-17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12.30–14.00</w:t>
            </w:r>
          </w:p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B9" w:rsidRPr="005A3BC8" w:rsidRDefault="003E70B9" w:rsidP="002B54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Haroldo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Trijonio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peticijos </w:t>
            </w:r>
            <w:r w:rsidRPr="008C1862">
              <w:rPr>
                <w:rFonts w:ascii="Times New Roman" w:eastAsia="TimesNewRomanPSMT" w:hAnsi="Times New Roman"/>
                <w:sz w:val="24"/>
                <w:szCs w:val="24"/>
              </w:rPr>
              <w:t>„Dėl Lietuvos Respublikos bausmių vykdymo kodekso 94 straipsnio pakeitimo“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nagrinėjimas iš esmės.</w:t>
            </w:r>
          </w:p>
          <w:p w:rsidR="003E70B9" w:rsidRDefault="003E70B9" w:rsidP="002B54E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70B9" w:rsidTr="002B54E6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2014-09-17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12.30–14.00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Pr="00FF1759" w:rsidRDefault="003E70B9" w:rsidP="002B54E6">
            <w:pPr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r w:rsidRPr="00FF1759">
              <w:rPr>
                <w:rFonts w:ascii="Times New Roman" w:hAnsi="Times New Roman"/>
                <w:sz w:val="24"/>
                <w:szCs w:val="24"/>
              </w:rPr>
              <w:t>Rasos Navickaitės, Donato Paulausko ir 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aimos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Vaigės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peticijos</w:t>
            </w:r>
            <w:r w:rsidRPr="00FF1759">
              <w:rPr>
                <w:rFonts w:ascii="Times New Roman" w:hAnsi="Times New Roman"/>
                <w:sz w:val="24"/>
                <w:szCs w:val="24"/>
              </w:rPr>
              <w:t xml:space="preserve"> „Prieš cenzūrą, už žmogaus teises ir žodžio laisvę – grąžinkite „Gintarinę širdį“ skaitytojams</w:t>
            </w:r>
            <w:r>
              <w:rPr>
                <w:rFonts w:ascii="Times New Roman" w:hAnsi="Times New Roman"/>
                <w:sz w:val="24"/>
                <w:szCs w:val="24"/>
              </w:rPr>
              <w:t>“.</w:t>
            </w:r>
          </w:p>
          <w:p w:rsidR="003E70B9" w:rsidRDefault="003E70B9" w:rsidP="002B54E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70B9" w:rsidTr="002B54E6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2014-09-17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12.30–14.00</w:t>
            </w:r>
          </w:p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Timofejaus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Trimailovo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kreipimosi „Dėl nuosavybės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įteisininimo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pagal paveldėtojų susitarimą“.</w:t>
            </w:r>
          </w:p>
        </w:tc>
      </w:tr>
      <w:tr w:rsidR="003E70B9" w:rsidTr="002B54E6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2014-09-17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12.30–14.00</w:t>
            </w:r>
          </w:p>
          <w:p w:rsidR="003E70B9" w:rsidRDefault="003E70B9" w:rsidP="002B5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B9" w:rsidRDefault="003E70B9" w:rsidP="002B54E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3A5C51" w:rsidRDefault="003A5C51">
      <w:pPr>
        <w:rPr>
          <w:rFonts w:ascii="Times New Roman" w:hAnsi="Times New Roman"/>
          <w:sz w:val="24"/>
        </w:rPr>
      </w:pPr>
    </w:p>
    <w:p w:rsidR="003A5C51" w:rsidRDefault="003A5C51">
      <w:pPr>
        <w:rPr>
          <w:rFonts w:ascii="Times New Roman" w:hAnsi="Times New Roman"/>
          <w:sz w:val="24"/>
        </w:rPr>
      </w:pPr>
    </w:p>
    <w:p w:rsidR="003A5C51" w:rsidRDefault="003A5C51"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sectPr w:rsidR="003A5C5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B9"/>
    <w:rsid w:val="003A5C51"/>
    <w:rsid w:val="003E70B9"/>
    <w:rsid w:val="00B253EF"/>
    <w:rsid w:val="00BA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E70B9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3E70B9"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semiHidden/>
    <w:rsid w:val="003E70B9"/>
    <w:rPr>
      <w:rFonts w:ascii="Times New Roman" w:eastAsia="Times New Roman" w:hAnsi="Times New Roman" w:cs="Times New Roman"/>
      <w:b/>
      <w:sz w:val="24"/>
      <w:szCs w:val="20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3E70B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3E70B9"/>
    <w:rPr>
      <w:rFonts w:ascii="CG Times" w:eastAsia="Times New Roman" w:hAnsi="CG 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E70B9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3E70B9"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semiHidden/>
    <w:rsid w:val="003E70B9"/>
    <w:rPr>
      <w:rFonts w:ascii="Times New Roman" w:eastAsia="Times New Roman" w:hAnsi="Times New Roman" w:cs="Times New Roman"/>
      <w:b/>
      <w:sz w:val="24"/>
      <w:szCs w:val="20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3E70B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3E70B9"/>
    <w:rPr>
      <w:rFonts w:ascii="CG Times" w:eastAsia="Times New Roman" w:hAnsi="CG 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692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4</cp:revision>
  <dcterms:created xsi:type="dcterms:W3CDTF">2014-09-12T04:28:00Z</dcterms:created>
  <dcterms:modified xsi:type="dcterms:W3CDTF">2014-09-12T04:31:00Z</dcterms:modified>
</cp:coreProperties>
</file>