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342" w:rsidRPr="00963A20" w:rsidRDefault="00001F8F" w:rsidP="00963A20">
      <w:pPr>
        <w:pStyle w:val="statymopavad"/>
        <w:ind w:firstLine="0"/>
        <w:rPr>
          <w:rFonts w:ascii="Times New Roman" w:hAnsi="Times New Roman"/>
          <w:b/>
          <w:bCs/>
          <w:szCs w:val="24"/>
        </w:rPr>
      </w:pPr>
      <w:bookmarkStart w:id="0" w:name="organizacija"/>
      <w:bookmarkStart w:id="1" w:name="_GoBack"/>
      <w:bookmarkEnd w:id="1"/>
      <w:r w:rsidRPr="00963A20">
        <w:rPr>
          <w:rFonts w:ascii="Times New Roman" w:hAnsi="Times New Roman"/>
          <w:b/>
          <w:szCs w:val="24"/>
        </w:rPr>
        <w:t xml:space="preserve">SEIMAS </w:t>
      </w:r>
      <w:bookmarkEnd w:id="0"/>
      <w:r w:rsidRPr="00963A20">
        <w:rPr>
          <w:rFonts w:ascii="Times New Roman" w:hAnsi="Times New Roman"/>
          <w:b/>
          <w:szCs w:val="24"/>
        </w:rPr>
        <w:t>OF THE REPUBLIC OF LITHUANIA</w:t>
      </w:r>
    </w:p>
    <w:p w:rsidR="00580F96" w:rsidRPr="00963A20" w:rsidRDefault="00580F96" w:rsidP="00963A20">
      <w:pPr>
        <w:pStyle w:val="statymopavad"/>
        <w:ind w:firstLine="0"/>
        <w:rPr>
          <w:rFonts w:ascii="Times New Roman" w:hAnsi="Times New Roman"/>
          <w:b/>
          <w:bCs/>
          <w:szCs w:val="24"/>
        </w:rPr>
      </w:pPr>
    </w:p>
    <w:p w:rsidR="00580F96" w:rsidRPr="00963A20" w:rsidRDefault="00001F8F" w:rsidP="00963A20">
      <w:pPr>
        <w:pStyle w:val="statymopavad"/>
        <w:ind w:firstLine="0"/>
        <w:rPr>
          <w:rFonts w:ascii="Times New Roman" w:hAnsi="Times New Roman"/>
          <w:b/>
          <w:szCs w:val="24"/>
        </w:rPr>
      </w:pPr>
      <w:bookmarkStart w:id="2" w:name="dok_tipas"/>
      <w:r w:rsidRPr="00963A20">
        <w:rPr>
          <w:rFonts w:ascii="Times New Roman" w:hAnsi="Times New Roman"/>
          <w:b/>
          <w:szCs w:val="24"/>
        </w:rPr>
        <w:t>RESOLUTION</w:t>
      </w:r>
      <w:bookmarkEnd w:id="2"/>
    </w:p>
    <w:p w:rsidR="00EC4123" w:rsidRPr="00963A20" w:rsidRDefault="00EC4123" w:rsidP="00963A20">
      <w:pPr>
        <w:pStyle w:val="statymopavad"/>
        <w:ind w:firstLine="0"/>
        <w:rPr>
          <w:rFonts w:ascii="Times New Roman" w:hAnsi="Times New Roman"/>
          <w:b/>
          <w:bCs/>
          <w:szCs w:val="24"/>
        </w:rPr>
      </w:pPr>
      <w:r w:rsidRPr="00963A20">
        <w:rPr>
          <w:rFonts w:ascii="Times New Roman" w:hAnsi="Times New Roman"/>
          <w:b/>
          <w:szCs w:val="24"/>
        </w:rPr>
        <w:t>ON THE SIGNING, RATIFICATION AND IMPLEMENTATION OF THE EUROPEAN UNION ASSOCIATION AGREEMENTS, INCLUDING DEEP AND COMPREHENSIVE FREE TRADE AREAS, WITH GEORGIA, MOLDOVA AND UKRAINE</w:t>
      </w:r>
    </w:p>
    <w:p w:rsidR="00EC4123" w:rsidRPr="00963A20" w:rsidRDefault="00EC4123" w:rsidP="00963A20">
      <w:pPr>
        <w:pStyle w:val="statymopavad"/>
        <w:ind w:firstLine="0"/>
        <w:rPr>
          <w:rFonts w:ascii="Times New Roman" w:hAnsi="Times New Roman"/>
          <w:b/>
          <w:szCs w:val="24"/>
        </w:rPr>
      </w:pPr>
    </w:p>
    <w:p w:rsidR="009C1342" w:rsidRPr="00963A20" w:rsidRDefault="00963A20" w:rsidP="00963A20">
      <w:pPr>
        <w:spacing w:line="360" w:lineRule="auto"/>
        <w:jc w:val="center"/>
        <w:rPr>
          <w:rFonts w:ascii="Times New Roman" w:hAnsi="Times New Roman"/>
          <w:b/>
          <w:szCs w:val="24"/>
        </w:rPr>
      </w:pPr>
      <w:r>
        <w:rPr>
          <w:rStyle w:val="Datametai"/>
          <w:rFonts w:ascii="Times New Roman" w:hAnsi="Times New Roman"/>
          <w:szCs w:val="24"/>
        </w:rPr>
        <w:t xml:space="preserve">8 May </w:t>
      </w:r>
      <w:r w:rsidR="00EC4123" w:rsidRPr="00963A20">
        <w:rPr>
          <w:rStyle w:val="Datametai"/>
          <w:rFonts w:ascii="Times New Roman" w:hAnsi="Times New Roman"/>
          <w:szCs w:val="24"/>
        </w:rPr>
        <w:t>2014</w:t>
      </w:r>
      <w:r>
        <w:rPr>
          <w:rStyle w:val="Datametai"/>
          <w:rFonts w:ascii="Times New Roman" w:hAnsi="Times New Roman"/>
          <w:szCs w:val="24"/>
        </w:rPr>
        <w:tab/>
        <w:t>No XII-863</w:t>
      </w:r>
      <w:r w:rsidR="00EC4123" w:rsidRPr="00963A20">
        <w:rPr>
          <w:rFonts w:ascii="Times New Roman" w:hAnsi="Times New Roman"/>
          <w:szCs w:val="24"/>
        </w:rPr>
        <w:br/>
        <w:t>Vilnius</w:t>
      </w:r>
    </w:p>
    <w:p w:rsidR="00963A20" w:rsidRDefault="00963A20" w:rsidP="00963A20">
      <w:pPr>
        <w:spacing w:line="360" w:lineRule="auto"/>
        <w:ind w:firstLine="720"/>
        <w:jc w:val="both"/>
        <w:rPr>
          <w:rFonts w:ascii="Times New Roman" w:hAnsi="Times New Roman"/>
          <w:szCs w:val="24"/>
        </w:rPr>
      </w:pPr>
    </w:p>
    <w:p w:rsidR="003B3109" w:rsidRPr="00963A20" w:rsidRDefault="003B3109" w:rsidP="00963A20">
      <w:pPr>
        <w:spacing w:line="360" w:lineRule="auto"/>
        <w:ind w:firstLine="720"/>
        <w:jc w:val="both"/>
        <w:rPr>
          <w:rFonts w:ascii="Times New Roman" w:hAnsi="Times New Roman"/>
          <w:szCs w:val="24"/>
        </w:rPr>
      </w:pPr>
      <w:r w:rsidRPr="00963A20">
        <w:rPr>
          <w:rFonts w:ascii="Times New Roman" w:hAnsi="Times New Roman"/>
          <w:szCs w:val="24"/>
        </w:rPr>
        <w:t xml:space="preserve">The Seimas of the Republic of Lithuania, </w:t>
      </w:r>
    </w:p>
    <w:p w:rsidR="003B3109" w:rsidRPr="00963A20" w:rsidRDefault="00963A20" w:rsidP="00963A20">
      <w:pPr>
        <w:spacing w:line="360" w:lineRule="auto"/>
        <w:ind w:firstLine="720"/>
        <w:jc w:val="both"/>
        <w:rPr>
          <w:rFonts w:ascii="Times New Roman" w:hAnsi="Times New Roman"/>
          <w:szCs w:val="24"/>
        </w:rPr>
      </w:pPr>
      <w:r>
        <w:rPr>
          <w:rFonts w:ascii="Times New Roman" w:hAnsi="Times New Roman"/>
          <w:i/>
          <w:szCs w:val="24"/>
        </w:rPr>
        <w:t>consider</w:t>
      </w:r>
      <w:r w:rsidR="003B3109" w:rsidRPr="00963A20">
        <w:rPr>
          <w:rFonts w:ascii="Times New Roman" w:hAnsi="Times New Roman"/>
          <w:i/>
          <w:szCs w:val="24"/>
        </w:rPr>
        <w:t>ing</w:t>
      </w:r>
      <w:r w:rsidR="003B3109" w:rsidRPr="00963A20">
        <w:rPr>
          <w:rFonts w:ascii="Times New Roman" w:hAnsi="Times New Roman"/>
          <w:szCs w:val="24"/>
        </w:rPr>
        <w:t xml:space="preserve"> the strategic importance for the European Union of the region which includes Georgia, Moldova, Ukraine, Belarus, Azerbaijan and Armenia;</w:t>
      </w:r>
    </w:p>
    <w:p w:rsidR="00852D45" w:rsidRPr="00963A20" w:rsidRDefault="00852D45" w:rsidP="00963A20">
      <w:pPr>
        <w:spacing w:line="360" w:lineRule="auto"/>
        <w:ind w:firstLine="720"/>
        <w:jc w:val="both"/>
        <w:rPr>
          <w:rFonts w:ascii="Times New Roman" w:hAnsi="Times New Roman"/>
          <w:b/>
          <w:szCs w:val="24"/>
          <w:u w:val="single"/>
        </w:rPr>
      </w:pPr>
      <w:r w:rsidRPr="00963A20">
        <w:rPr>
          <w:rFonts w:ascii="Times New Roman" w:hAnsi="Times New Roman"/>
          <w:i/>
          <w:szCs w:val="24"/>
        </w:rPr>
        <w:t>emphasising</w:t>
      </w:r>
      <w:r w:rsidRPr="00963A20">
        <w:rPr>
          <w:rFonts w:ascii="Times New Roman" w:hAnsi="Times New Roman"/>
          <w:szCs w:val="24"/>
        </w:rPr>
        <w:t xml:space="preserve"> that the long-term stability and security of these countries a</w:t>
      </w:r>
      <w:r w:rsidR="00963A20">
        <w:rPr>
          <w:rFonts w:ascii="Times New Roman" w:hAnsi="Times New Roman"/>
          <w:szCs w:val="24"/>
        </w:rPr>
        <w:t>nd</w:t>
      </w:r>
      <w:r w:rsidRPr="00963A20">
        <w:rPr>
          <w:rFonts w:ascii="Times New Roman" w:hAnsi="Times New Roman"/>
          <w:szCs w:val="24"/>
        </w:rPr>
        <w:t xml:space="preserve"> the whole </w:t>
      </w:r>
      <w:r w:rsidR="00625C62">
        <w:rPr>
          <w:rFonts w:ascii="Times New Roman" w:hAnsi="Times New Roman"/>
          <w:szCs w:val="24"/>
        </w:rPr>
        <w:t xml:space="preserve">of </w:t>
      </w:r>
      <w:r w:rsidRPr="00963A20">
        <w:rPr>
          <w:rFonts w:ascii="Times New Roman" w:hAnsi="Times New Roman"/>
          <w:szCs w:val="24"/>
        </w:rPr>
        <w:t xml:space="preserve">Europe will be guaranteed only by strengthening democracy, the rule of law, respect for human rights, the market economy and good governance, i.e. the values and principles which </w:t>
      </w:r>
      <w:r w:rsidR="00625C62">
        <w:rPr>
          <w:rFonts w:ascii="Times New Roman" w:hAnsi="Times New Roman"/>
          <w:szCs w:val="24"/>
        </w:rPr>
        <w:t>underlie</w:t>
      </w:r>
      <w:r w:rsidRPr="00963A20">
        <w:rPr>
          <w:rFonts w:ascii="Times New Roman" w:hAnsi="Times New Roman"/>
          <w:szCs w:val="24"/>
        </w:rPr>
        <w:t xml:space="preserve"> the Eastern Partnership policy and which were reaffirmed by the participants of the Vilnius Eastern Partnership Summit which established the essential achievements in the implementation of the Eastern Partnership </w:t>
      </w:r>
      <w:r w:rsidR="00625C62">
        <w:rPr>
          <w:rFonts w:ascii="Times New Roman" w:hAnsi="Times New Roman"/>
          <w:szCs w:val="24"/>
        </w:rPr>
        <w:t>initiative</w:t>
      </w:r>
      <w:r w:rsidRPr="00963A20">
        <w:rPr>
          <w:rFonts w:ascii="Times New Roman" w:hAnsi="Times New Roman"/>
          <w:szCs w:val="24"/>
        </w:rPr>
        <w:t>;</w:t>
      </w:r>
    </w:p>
    <w:p w:rsidR="002329F6" w:rsidRPr="00963A20" w:rsidRDefault="002329F6" w:rsidP="00963A20">
      <w:pPr>
        <w:spacing w:line="360" w:lineRule="auto"/>
        <w:ind w:firstLine="720"/>
        <w:jc w:val="both"/>
        <w:rPr>
          <w:rFonts w:ascii="Times New Roman" w:hAnsi="Times New Roman"/>
          <w:szCs w:val="24"/>
        </w:rPr>
      </w:pPr>
      <w:r w:rsidRPr="00963A20">
        <w:rPr>
          <w:rFonts w:ascii="Times New Roman" w:hAnsi="Times New Roman"/>
          <w:i/>
          <w:szCs w:val="24"/>
        </w:rPr>
        <w:t>having</w:t>
      </w:r>
      <w:r w:rsidRPr="00963A20">
        <w:rPr>
          <w:rFonts w:ascii="Times New Roman" w:hAnsi="Times New Roman"/>
          <w:szCs w:val="24"/>
        </w:rPr>
        <w:t xml:space="preserve"> </w:t>
      </w:r>
      <w:r w:rsidRPr="00963A20">
        <w:rPr>
          <w:rFonts w:ascii="Times New Roman" w:hAnsi="Times New Roman"/>
          <w:i/>
          <w:szCs w:val="24"/>
        </w:rPr>
        <w:t xml:space="preserve">regard to </w:t>
      </w:r>
      <w:r w:rsidRPr="00963A20">
        <w:rPr>
          <w:rFonts w:ascii="Times New Roman" w:hAnsi="Times New Roman"/>
          <w:szCs w:val="24"/>
        </w:rPr>
        <w:t>the conclusions of the Conference of Speakers of European Union Parliaments, which took place on 6-8 April 2014 in Vilnius, regarding interparliamentary cooperation with the Eastern Partnership countries;</w:t>
      </w:r>
    </w:p>
    <w:p w:rsidR="002329F6" w:rsidRPr="00963A20" w:rsidRDefault="002329F6" w:rsidP="00963A20">
      <w:pPr>
        <w:spacing w:line="360" w:lineRule="auto"/>
        <w:ind w:firstLine="720"/>
        <w:jc w:val="both"/>
        <w:rPr>
          <w:rFonts w:ascii="Times New Roman" w:hAnsi="Times New Roman"/>
          <w:szCs w:val="24"/>
        </w:rPr>
      </w:pPr>
      <w:r w:rsidRPr="00963A20">
        <w:rPr>
          <w:rFonts w:ascii="Times New Roman" w:hAnsi="Times New Roman"/>
          <w:i/>
          <w:szCs w:val="24"/>
        </w:rPr>
        <w:t>having regard to</w:t>
      </w:r>
      <w:r w:rsidRPr="00963A20">
        <w:rPr>
          <w:rFonts w:ascii="Times New Roman" w:hAnsi="Times New Roman"/>
          <w:szCs w:val="24"/>
        </w:rPr>
        <w:t xml:space="preserve"> the European Parliament Resolution of 12 March 2014 on assessing and setting priorities for EU relations with the Eastern Partnership countries and </w:t>
      </w:r>
      <w:r w:rsidR="002D7D05">
        <w:rPr>
          <w:rFonts w:ascii="Times New Roman" w:hAnsi="Times New Roman"/>
          <w:szCs w:val="24"/>
        </w:rPr>
        <w:t xml:space="preserve">the European Parliament </w:t>
      </w:r>
      <w:r w:rsidRPr="00963A20">
        <w:rPr>
          <w:rFonts w:ascii="Times New Roman" w:hAnsi="Times New Roman"/>
          <w:szCs w:val="24"/>
        </w:rPr>
        <w:t>Resolution of 17 April 2014 on Russian pressure on Eastern Partnership countries and in particular destabilisation of eastern Ukraine;</w:t>
      </w:r>
    </w:p>
    <w:p w:rsidR="002D7D05" w:rsidRDefault="002D7D05" w:rsidP="00963A20">
      <w:pPr>
        <w:spacing w:line="360" w:lineRule="auto"/>
        <w:ind w:firstLine="720"/>
        <w:jc w:val="both"/>
        <w:rPr>
          <w:rFonts w:ascii="Times New Roman" w:hAnsi="Times New Roman"/>
          <w:szCs w:val="24"/>
        </w:rPr>
      </w:pPr>
      <w:r>
        <w:rPr>
          <w:rFonts w:ascii="Times New Roman" w:hAnsi="Times New Roman"/>
          <w:i/>
          <w:szCs w:val="24"/>
        </w:rPr>
        <w:t>being of the opinion</w:t>
      </w:r>
      <w:r w:rsidR="00EC4123" w:rsidRPr="00963A20">
        <w:rPr>
          <w:rFonts w:ascii="Times New Roman" w:hAnsi="Times New Roman"/>
          <w:szCs w:val="24"/>
        </w:rPr>
        <w:t xml:space="preserve"> that the European Union</w:t>
      </w:r>
      <w:r>
        <w:rPr>
          <w:rFonts w:ascii="Times New Roman" w:hAnsi="Times New Roman"/>
          <w:szCs w:val="24"/>
        </w:rPr>
        <w:t>’</w:t>
      </w:r>
      <w:r w:rsidR="00EC4123" w:rsidRPr="00963A20">
        <w:rPr>
          <w:rFonts w:ascii="Times New Roman" w:hAnsi="Times New Roman"/>
          <w:szCs w:val="24"/>
        </w:rPr>
        <w:t xml:space="preserve">s </w:t>
      </w:r>
      <w:r w:rsidR="008F0696">
        <w:rPr>
          <w:rFonts w:ascii="Times New Roman" w:hAnsi="Times New Roman"/>
          <w:szCs w:val="24"/>
        </w:rPr>
        <w:t>enlargement</w:t>
      </w:r>
      <w:r w:rsidR="00EC4123" w:rsidRPr="00963A20">
        <w:rPr>
          <w:rFonts w:ascii="Times New Roman" w:hAnsi="Times New Roman"/>
          <w:szCs w:val="24"/>
        </w:rPr>
        <w:t xml:space="preserve"> policy has clearly proved its significance as the most effective </w:t>
      </w:r>
      <w:r w:rsidR="008F0696">
        <w:rPr>
          <w:rFonts w:ascii="Times New Roman" w:hAnsi="Times New Roman"/>
          <w:szCs w:val="24"/>
        </w:rPr>
        <w:t>instrument</w:t>
      </w:r>
      <w:r w:rsidR="00EC4123" w:rsidRPr="00963A20">
        <w:rPr>
          <w:rFonts w:ascii="Times New Roman" w:hAnsi="Times New Roman"/>
          <w:szCs w:val="24"/>
        </w:rPr>
        <w:t xml:space="preserve"> </w:t>
      </w:r>
      <w:r w:rsidR="00E35FB9">
        <w:rPr>
          <w:rFonts w:ascii="Times New Roman" w:hAnsi="Times New Roman"/>
          <w:szCs w:val="24"/>
        </w:rPr>
        <w:t>secur</w:t>
      </w:r>
      <w:r w:rsidR="00EC4123" w:rsidRPr="00963A20">
        <w:rPr>
          <w:rFonts w:ascii="Times New Roman" w:hAnsi="Times New Roman"/>
          <w:szCs w:val="24"/>
        </w:rPr>
        <w:t>ing peace and stability in Europe and, therefore, should be continued, especially in light of the recent dramatic geopolitical changes in Eastern Europe;</w:t>
      </w:r>
    </w:p>
    <w:p w:rsidR="002329F6" w:rsidRPr="00963A20" w:rsidRDefault="008F0696" w:rsidP="00963A20">
      <w:pPr>
        <w:spacing w:line="360" w:lineRule="auto"/>
        <w:ind w:firstLine="720"/>
        <w:jc w:val="both"/>
        <w:rPr>
          <w:rFonts w:ascii="Times New Roman" w:hAnsi="Times New Roman"/>
          <w:szCs w:val="24"/>
        </w:rPr>
      </w:pPr>
      <w:r>
        <w:rPr>
          <w:rFonts w:ascii="Times New Roman" w:hAnsi="Times New Roman"/>
          <w:i/>
          <w:szCs w:val="24"/>
        </w:rPr>
        <w:t xml:space="preserve">emphasising </w:t>
      </w:r>
      <w:r w:rsidR="002A7BF1" w:rsidRPr="00963A20">
        <w:rPr>
          <w:rFonts w:ascii="Times New Roman" w:hAnsi="Times New Roman"/>
          <w:szCs w:val="24"/>
        </w:rPr>
        <w:t>the right and freedom of each sovereign state to decide on its future, to choose the direction of foreign policy and to take decisions on accession to any international organisation or alliance without any external pressure,</w:t>
      </w:r>
    </w:p>
    <w:p w:rsidR="00963A20" w:rsidRPr="00963A20" w:rsidRDefault="00963A20" w:rsidP="00963A20">
      <w:pPr>
        <w:spacing w:line="360" w:lineRule="auto"/>
        <w:ind w:firstLine="720"/>
        <w:jc w:val="both"/>
        <w:rPr>
          <w:rFonts w:ascii="Times New Roman" w:hAnsi="Times New Roman"/>
          <w:szCs w:val="24"/>
        </w:rPr>
      </w:pPr>
      <w:r w:rsidRPr="00963A20">
        <w:rPr>
          <w:rFonts w:ascii="Times New Roman" w:hAnsi="Times New Roman"/>
          <w:b/>
          <w:szCs w:val="24"/>
        </w:rPr>
        <w:lastRenderedPageBreak/>
        <w:t>supports</w:t>
      </w:r>
      <w:r w:rsidRPr="00963A20">
        <w:rPr>
          <w:rFonts w:ascii="Times New Roman" w:hAnsi="Times New Roman"/>
          <w:szCs w:val="24"/>
        </w:rPr>
        <w:t xml:space="preserve"> the offering of a European perspective, including the possibility of applying </w:t>
      </w:r>
      <w:r w:rsidR="00856C56">
        <w:rPr>
          <w:rFonts w:ascii="Times New Roman" w:hAnsi="Times New Roman"/>
          <w:szCs w:val="24"/>
        </w:rPr>
        <w:t>to become</w:t>
      </w:r>
      <w:r w:rsidRPr="00963A20">
        <w:rPr>
          <w:rFonts w:ascii="Times New Roman" w:hAnsi="Times New Roman"/>
          <w:szCs w:val="24"/>
        </w:rPr>
        <w:t xml:space="preserve"> </w:t>
      </w:r>
      <w:r w:rsidR="00856C56">
        <w:rPr>
          <w:rFonts w:ascii="Times New Roman" w:hAnsi="Times New Roman"/>
          <w:szCs w:val="24"/>
        </w:rPr>
        <w:t xml:space="preserve">a </w:t>
      </w:r>
      <w:r w:rsidRPr="00963A20">
        <w:rPr>
          <w:rFonts w:ascii="Times New Roman" w:hAnsi="Times New Roman"/>
          <w:szCs w:val="24"/>
        </w:rPr>
        <w:t xml:space="preserve">member </w:t>
      </w:r>
      <w:r w:rsidR="00856C56">
        <w:rPr>
          <w:rFonts w:ascii="Times New Roman" w:hAnsi="Times New Roman"/>
          <w:szCs w:val="24"/>
        </w:rPr>
        <w:t xml:space="preserve">of the Union </w:t>
      </w:r>
      <w:r w:rsidRPr="00963A20">
        <w:rPr>
          <w:rFonts w:ascii="Times New Roman" w:hAnsi="Times New Roman"/>
          <w:szCs w:val="24"/>
        </w:rPr>
        <w:t xml:space="preserve">under Article 49 of the Treaty on European Union, </w:t>
      </w:r>
      <w:r w:rsidR="00E35FB9">
        <w:rPr>
          <w:rFonts w:ascii="Times New Roman" w:hAnsi="Times New Roman"/>
          <w:szCs w:val="24"/>
        </w:rPr>
        <w:t>to</w:t>
      </w:r>
      <w:r w:rsidRPr="00963A20">
        <w:rPr>
          <w:rFonts w:ascii="Times New Roman" w:hAnsi="Times New Roman"/>
          <w:szCs w:val="24"/>
        </w:rPr>
        <w:t xml:space="preserve"> Georgia, Moldova and Ukraine, as the actions of these states clearly demonstrate the determination to further strengthen relations with the European Union and to implement the political, legal and economic reforms required to meet the membership criteria, and </w:t>
      </w:r>
      <w:r w:rsidR="000B5985">
        <w:rPr>
          <w:rFonts w:ascii="Times New Roman" w:hAnsi="Times New Roman"/>
          <w:szCs w:val="24"/>
        </w:rPr>
        <w:t xml:space="preserve">the </w:t>
      </w:r>
      <w:r w:rsidRPr="00963A20">
        <w:rPr>
          <w:rFonts w:ascii="Times New Roman" w:hAnsi="Times New Roman"/>
          <w:szCs w:val="24"/>
        </w:rPr>
        <w:t xml:space="preserve">offering of </w:t>
      </w:r>
      <w:r w:rsidR="000B5985">
        <w:rPr>
          <w:rFonts w:ascii="Times New Roman" w:hAnsi="Times New Roman"/>
          <w:szCs w:val="24"/>
        </w:rPr>
        <w:t>EU</w:t>
      </w:r>
      <w:r w:rsidRPr="00963A20">
        <w:rPr>
          <w:rFonts w:ascii="Times New Roman" w:hAnsi="Times New Roman"/>
          <w:szCs w:val="24"/>
        </w:rPr>
        <w:t xml:space="preserve"> membership </w:t>
      </w:r>
      <w:r w:rsidR="000B5985">
        <w:rPr>
          <w:rFonts w:ascii="Times New Roman" w:hAnsi="Times New Roman"/>
          <w:szCs w:val="24"/>
        </w:rPr>
        <w:t>perspectives</w:t>
      </w:r>
      <w:r w:rsidRPr="00963A20">
        <w:rPr>
          <w:rFonts w:ascii="Times New Roman" w:hAnsi="Times New Roman"/>
          <w:szCs w:val="24"/>
        </w:rPr>
        <w:t xml:space="preserve"> would undoubtedly be a strong driving force of these processes;</w:t>
      </w:r>
    </w:p>
    <w:p w:rsidR="00963A20" w:rsidRPr="00963A20" w:rsidRDefault="00963A20" w:rsidP="00963A20">
      <w:pPr>
        <w:spacing w:line="360" w:lineRule="auto"/>
        <w:ind w:firstLine="720"/>
        <w:jc w:val="both"/>
        <w:rPr>
          <w:rFonts w:ascii="Times New Roman" w:hAnsi="Times New Roman"/>
          <w:szCs w:val="24"/>
        </w:rPr>
      </w:pPr>
      <w:r w:rsidRPr="00963A20">
        <w:rPr>
          <w:rFonts w:ascii="Times New Roman" w:hAnsi="Times New Roman"/>
          <w:b/>
          <w:szCs w:val="24"/>
        </w:rPr>
        <w:t>welcomes</w:t>
      </w:r>
      <w:r w:rsidRPr="00963A20">
        <w:rPr>
          <w:rFonts w:ascii="Times New Roman" w:hAnsi="Times New Roman"/>
          <w:szCs w:val="24"/>
        </w:rPr>
        <w:t xml:space="preserve"> the decision of the European Council to bring forward the signing of the Association Agreements with Georgia and Moldova providing that it must take place not later than in June 2014 and expects the concurrent signature of the remaining </w:t>
      </w:r>
      <w:r w:rsidR="006C261F">
        <w:rPr>
          <w:rFonts w:ascii="Times New Roman" w:hAnsi="Times New Roman"/>
          <w:szCs w:val="24"/>
        </w:rPr>
        <w:t>chapters</w:t>
      </w:r>
      <w:r w:rsidRPr="00963A20">
        <w:rPr>
          <w:rFonts w:ascii="Times New Roman" w:hAnsi="Times New Roman"/>
          <w:szCs w:val="24"/>
        </w:rPr>
        <w:t xml:space="preserve"> of the Association Agreement with Ukraine; </w:t>
      </w:r>
    </w:p>
    <w:p w:rsidR="00963A20" w:rsidRPr="00963A20" w:rsidRDefault="00963A20" w:rsidP="00963A20">
      <w:pPr>
        <w:spacing w:line="360" w:lineRule="auto"/>
        <w:ind w:firstLine="720"/>
        <w:jc w:val="both"/>
        <w:rPr>
          <w:rFonts w:ascii="Times New Roman" w:hAnsi="Times New Roman"/>
          <w:szCs w:val="24"/>
        </w:rPr>
      </w:pPr>
      <w:r w:rsidRPr="00963A20">
        <w:rPr>
          <w:rFonts w:ascii="Times New Roman" w:hAnsi="Times New Roman"/>
          <w:b/>
          <w:szCs w:val="24"/>
        </w:rPr>
        <w:t>is of the opinion</w:t>
      </w:r>
      <w:r w:rsidRPr="00963A20">
        <w:rPr>
          <w:rFonts w:ascii="Times New Roman" w:hAnsi="Times New Roman"/>
          <w:szCs w:val="24"/>
        </w:rPr>
        <w:t xml:space="preserve"> that the Association Agreements, including Deep and Comprehensive Free Trade Areas, with Georgia, Moldova and Ukraine is a significant step in the process of integration of these countries into the European Union and the most effective instrument of strengthening their political and economic stability, enhancing resilience to external threats and </w:t>
      </w:r>
      <w:r w:rsidR="00667379">
        <w:rPr>
          <w:rFonts w:ascii="Times New Roman" w:hAnsi="Times New Roman"/>
          <w:szCs w:val="24"/>
        </w:rPr>
        <w:t xml:space="preserve">accordingly </w:t>
      </w:r>
      <w:r w:rsidRPr="00963A20">
        <w:rPr>
          <w:rFonts w:ascii="Times New Roman" w:hAnsi="Times New Roman"/>
          <w:szCs w:val="24"/>
        </w:rPr>
        <w:t>responding to the choice of people to link their future with the European Union;</w:t>
      </w:r>
    </w:p>
    <w:p w:rsidR="00963A20" w:rsidRPr="00963A20" w:rsidRDefault="00963A20" w:rsidP="00963A20">
      <w:pPr>
        <w:spacing w:line="360" w:lineRule="auto"/>
        <w:ind w:firstLine="720"/>
        <w:jc w:val="both"/>
        <w:rPr>
          <w:rFonts w:ascii="Times New Roman" w:hAnsi="Times New Roman"/>
          <w:szCs w:val="24"/>
        </w:rPr>
      </w:pPr>
      <w:r w:rsidRPr="00963A20">
        <w:rPr>
          <w:rFonts w:ascii="Times New Roman" w:hAnsi="Times New Roman"/>
          <w:b/>
          <w:szCs w:val="24"/>
        </w:rPr>
        <w:t>is ready</w:t>
      </w:r>
      <w:r w:rsidRPr="00963A20">
        <w:rPr>
          <w:rFonts w:ascii="Times New Roman" w:hAnsi="Times New Roman"/>
          <w:szCs w:val="24"/>
        </w:rPr>
        <w:t xml:space="preserve"> to ratify European Union Association Agreements with Georgia, Moldova and Ukraine following their signature;</w:t>
      </w:r>
    </w:p>
    <w:p w:rsidR="00963A20" w:rsidRPr="00963A20" w:rsidRDefault="00963A20" w:rsidP="00963A20">
      <w:pPr>
        <w:spacing w:line="360" w:lineRule="auto"/>
        <w:ind w:firstLine="720"/>
        <w:jc w:val="both"/>
        <w:rPr>
          <w:rFonts w:ascii="Times New Roman" w:hAnsi="Times New Roman"/>
          <w:szCs w:val="24"/>
        </w:rPr>
      </w:pPr>
      <w:r w:rsidRPr="00963A20">
        <w:rPr>
          <w:rFonts w:ascii="Times New Roman" w:hAnsi="Times New Roman"/>
          <w:b/>
          <w:szCs w:val="24"/>
        </w:rPr>
        <w:t>notes</w:t>
      </w:r>
      <w:r w:rsidRPr="00963A20">
        <w:rPr>
          <w:rFonts w:ascii="Times New Roman" w:hAnsi="Times New Roman"/>
          <w:szCs w:val="24"/>
        </w:rPr>
        <w:t xml:space="preserve"> the importance of proper preparation of Georgia, Moldova and Ukraine for the implementation of the Association Agreements and hence calls on institutions of the European Union to allocate the financial support provided </w:t>
      </w:r>
      <w:r w:rsidR="000170F0">
        <w:rPr>
          <w:rFonts w:ascii="Times New Roman" w:hAnsi="Times New Roman"/>
          <w:szCs w:val="24"/>
        </w:rPr>
        <w:t xml:space="preserve">for </w:t>
      </w:r>
      <w:r w:rsidRPr="00963A20">
        <w:rPr>
          <w:rFonts w:ascii="Times New Roman" w:hAnsi="Times New Roman"/>
          <w:szCs w:val="24"/>
        </w:rPr>
        <w:t xml:space="preserve">the Eastern Partnership countries during 2014-2020 primarily for the implementation of the Association Agreements and related reforms and to </w:t>
      </w:r>
      <w:r w:rsidR="000170F0">
        <w:rPr>
          <w:rFonts w:ascii="Times New Roman" w:hAnsi="Times New Roman"/>
          <w:szCs w:val="24"/>
        </w:rPr>
        <w:t>serious</w:t>
      </w:r>
      <w:r w:rsidRPr="00963A20">
        <w:rPr>
          <w:rFonts w:ascii="Times New Roman" w:hAnsi="Times New Roman"/>
          <w:szCs w:val="24"/>
        </w:rPr>
        <w:t xml:space="preserve">ly </w:t>
      </w:r>
      <w:r w:rsidR="000170F0">
        <w:rPr>
          <w:rFonts w:ascii="Times New Roman" w:hAnsi="Times New Roman"/>
          <w:szCs w:val="24"/>
        </w:rPr>
        <w:t xml:space="preserve">consider </w:t>
      </w:r>
      <w:r w:rsidRPr="00963A20">
        <w:rPr>
          <w:rFonts w:ascii="Times New Roman" w:hAnsi="Times New Roman"/>
          <w:szCs w:val="24"/>
        </w:rPr>
        <w:t xml:space="preserve">changes in the Eastern Partnership countries and their impact on stability and security in </w:t>
      </w:r>
      <w:r w:rsidR="000170F0">
        <w:rPr>
          <w:rFonts w:ascii="Times New Roman" w:hAnsi="Times New Roman"/>
          <w:szCs w:val="24"/>
        </w:rPr>
        <w:t xml:space="preserve">the whole of </w:t>
      </w:r>
      <w:r w:rsidRPr="00963A20">
        <w:rPr>
          <w:rFonts w:ascii="Times New Roman" w:hAnsi="Times New Roman"/>
          <w:szCs w:val="24"/>
        </w:rPr>
        <w:t>Europe when establishing bilateral and multilateral priorities of the European Union and allocating funds under the European Neighbourhood and Partnership Instrument;</w:t>
      </w:r>
    </w:p>
    <w:p w:rsidR="00963A20" w:rsidRPr="00963A20" w:rsidRDefault="00963A20" w:rsidP="00963A20">
      <w:pPr>
        <w:spacing w:line="360" w:lineRule="auto"/>
        <w:ind w:firstLine="720"/>
        <w:jc w:val="both"/>
        <w:rPr>
          <w:rFonts w:ascii="Times New Roman" w:hAnsi="Times New Roman"/>
          <w:szCs w:val="24"/>
        </w:rPr>
      </w:pPr>
      <w:r w:rsidRPr="00963A20">
        <w:rPr>
          <w:rFonts w:ascii="Times New Roman" w:hAnsi="Times New Roman"/>
          <w:b/>
          <w:szCs w:val="24"/>
        </w:rPr>
        <w:t>calls on</w:t>
      </w:r>
      <w:r w:rsidRPr="00963A20">
        <w:rPr>
          <w:rFonts w:ascii="Times New Roman" w:hAnsi="Times New Roman"/>
          <w:szCs w:val="24"/>
        </w:rPr>
        <w:t xml:space="preserve"> authorities of the Republic of Lithuania to actively cooperate with the relevant authorities of Georgia, Moldova and Ukraine in offering expert assistance </w:t>
      </w:r>
      <w:r w:rsidR="00087075">
        <w:rPr>
          <w:rFonts w:ascii="Times New Roman" w:hAnsi="Times New Roman"/>
          <w:szCs w:val="24"/>
        </w:rPr>
        <w:t xml:space="preserve">for the preparation of the implementation of </w:t>
      </w:r>
      <w:r w:rsidRPr="00963A20">
        <w:rPr>
          <w:rFonts w:ascii="Times New Roman" w:hAnsi="Times New Roman"/>
          <w:szCs w:val="24"/>
        </w:rPr>
        <w:t>the Association Agreements;</w:t>
      </w:r>
    </w:p>
    <w:p w:rsidR="00963A20" w:rsidRPr="00963A20" w:rsidRDefault="00963A20" w:rsidP="00963A20">
      <w:pPr>
        <w:spacing w:line="360" w:lineRule="auto"/>
        <w:ind w:firstLine="720"/>
        <w:jc w:val="both"/>
        <w:rPr>
          <w:rFonts w:ascii="Times New Roman" w:hAnsi="Times New Roman"/>
          <w:szCs w:val="24"/>
        </w:rPr>
      </w:pPr>
      <w:r w:rsidRPr="00963A20">
        <w:rPr>
          <w:rFonts w:ascii="Times New Roman" w:hAnsi="Times New Roman"/>
          <w:b/>
          <w:szCs w:val="24"/>
        </w:rPr>
        <w:t>underlines</w:t>
      </w:r>
      <w:r w:rsidRPr="00963A20">
        <w:rPr>
          <w:rFonts w:ascii="Times New Roman" w:hAnsi="Times New Roman"/>
          <w:szCs w:val="24"/>
        </w:rPr>
        <w:t xml:space="preserve"> its intention to actively continue implementing initiatives for strengthening interparliamentary cooperation with Georgia, Moldova and Ukraine, especially those developed in the context of the parliamentary dimension of the Lithuanian Presidency of the Council of the EU, to further support, both on a bilateral level and a </w:t>
      </w:r>
      <w:r w:rsidRPr="00963A20">
        <w:rPr>
          <w:rFonts w:ascii="Times New Roman" w:hAnsi="Times New Roman"/>
          <w:szCs w:val="24"/>
        </w:rPr>
        <w:lastRenderedPageBreak/>
        <w:t xml:space="preserve">multilateral level, the parliaments of these states by sharing its expertise in democratic reforms, </w:t>
      </w:r>
      <w:r w:rsidR="000844C5">
        <w:rPr>
          <w:rFonts w:ascii="Times New Roman" w:hAnsi="Times New Roman"/>
          <w:szCs w:val="24"/>
        </w:rPr>
        <w:t xml:space="preserve">the </w:t>
      </w:r>
      <w:r w:rsidRPr="00963A20">
        <w:rPr>
          <w:rFonts w:ascii="Times New Roman" w:hAnsi="Times New Roman"/>
          <w:szCs w:val="24"/>
        </w:rPr>
        <w:t xml:space="preserve">rule of law and transposition and implementation of EU </w:t>
      </w:r>
      <w:r w:rsidRPr="00963A20">
        <w:rPr>
          <w:rFonts w:ascii="Times New Roman" w:hAnsi="Times New Roman"/>
          <w:i/>
          <w:szCs w:val="24"/>
        </w:rPr>
        <w:t>acquis</w:t>
      </w:r>
      <w:r w:rsidRPr="00963A20">
        <w:rPr>
          <w:rFonts w:ascii="Times New Roman" w:hAnsi="Times New Roman"/>
          <w:szCs w:val="24"/>
        </w:rPr>
        <w:t xml:space="preserve"> with a view to achieving closer political association and economic integration with the European Union; </w:t>
      </w:r>
    </w:p>
    <w:p w:rsidR="00963A20" w:rsidRPr="00963A20" w:rsidRDefault="00963A20" w:rsidP="00963A20">
      <w:pPr>
        <w:spacing w:line="360" w:lineRule="auto"/>
        <w:ind w:firstLine="720"/>
        <w:jc w:val="both"/>
        <w:rPr>
          <w:rFonts w:ascii="Times New Roman" w:hAnsi="Times New Roman"/>
          <w:szCs w:val="24"/>
        </w:rPr>
      </w:pPr>
      <w:r w:rsidRPr="00963A20">
        <w:rPr>
          <w:rFonts w:ascii="Times New Roman" w:hAnsi="Times New Roman"/>
          <w:b/>
          <w:szCs w:val="24"/>
        </w:rPr>
        <w:t xml:space="preserve">welcomes </w:t>
      </w:r>
      <w:r w:rsidRPr="00963A20">
        <w:rPr>
          <w:rFonts w:ascii="Times New Roman" w:hAnsi="Times New Roman"/>
          <w:szCs w:val="24"/>
        </w:rPr>
        <w:t xml:space="preserve">Moldova’s becoming the first Eastern Partnership country whose citizens are allowed to travel visa-free to the Schengen area as of 28 April 2014; </w:t>
      </w:r>
      <w:r w:rsidR="005B68B0">
        <w:rPr>
          <w:rFonts w:ascii="Times New Roman" w:hAnsi="Times New Roman"/>
          <w:szCs w:val="24"/>
        </w:rPr>
        <w:t>calls on</w:t>
      </w:r>
      <w:r w:rsidRPr="00963A20">
        <w:rPr>
          <w:rFonts w:ascii="Times New Roman" w:hAnsi="Times New Roman"/>
          <w:szCs w:val="24"/>
        </w:rPr>
        <w:t xml:space="preserve"> Georgia and Ukraine to pool their efforts in meeting the requirements of</w:t>
      </w:r>
      <w:r w:rsidR="005B68B0">
        <w:rPr>
          <w:rFonts w:ascii="Times New Roman" w:hAnsi="Times New Roman"/>
          <w:szCs w:val="24"/>
        </w:rPr>
        <w:t xml:space="preserve"> the</w:t>
      </w:r>
      <w:r w:rsidRPr="00963A20">
        <w:rPr>
          <w:rFonts w:ascii="Times New Roman" w:hAnsi="Times New Roman"/>
          <w:szCs w:val="24"/>
        </w:rPr>
        <w:t xml:space="preserve"> Visa Liberalisation Action Plans and fully implement them before the Riga Eastern Partnership Summit; </w:t>
      </w:r>
    </w:p>
    <w:p w:rsidR="00963A20" w:rsidRPr="00963A20" w:rsidRDefault="005B68B0" w:rsidP="00963A20">
      <w:pPr>
        <w:spacing w:line="360" w:lineRule="auto"/>
        <w:ind w:firstLine="720"/>
        <w:jc w:val="both"/>
        <w:rPr>
          <w:rFonts w:ascii="Times New Roman" w:hAnsi="Times New Roman"/>
          <w:szCs w:val="24"/>
        </w:rPr>
      </w:pPr>
      <w:r>
        <w:rPr>
          <w:rFonts w:ascii="Times New Roman" w:hAnsi="Times New Roman"/>
          <w:b/>
          <w:szCs w:val="24"/>
        </w:rPr>
        <w:t>emphasises</w:t>
      </w:r>
      <w:r w:rsidR="00963A20" w:rsidRPr="00963A20">
        <w:rPr>
          <w:rFonts w:ascii="Times New Roman" w:hAnsi="Times New Roman"/>
          <w:szCs w:val="24"/>
        </w:rPr>
        <w:t xml:space="preserve"> that the support of civil society plays a decisive role in the implementation of democratic reforms, and therefore calls for raising awareness of the European Union among Georgia’s, Moldova’s and Ukraine’s societies, especially in order to explain the benefits of </w:t>
      </w:r>
      <w:r>
        <w:rPr>
          <w:rFonts w:ascii="Times New Roman" w:hAnsi="Times New Roman"/>
          <w:szCs w:val="24"/>
        </w:rPr>
        <w:t xml:space="preserve">the </w:t>
      </w:r>
      <w:r w:rsidR="00963A20" w:rsidRPr="00963A20">
        <w:rPr>
          <w:rFonts w:ascii="Times New Roman" w:hAnsi="Times New Roman"/>
          <w:szCs w:val="24"/>
        </w:rPr>
        <w:t xml:space="preserve">Association Agreements; also </w:t>
      </w:r>
      <w:r>
        <w:rPr>
          <w:rFonts w:ascii="Times New Roman" w:hAnsi="Times New Roman"/>
          <w:szCs w:val="24"/>
        </w:rPr>
        <w:t>calls on</w:t>
      </w:r>
      <w:r w:rsidR="00963A20" w:rsidRPr="00963A20">
        <w:rPr>
          <w:rFonts w:ascii="Times New Roman" w:hAnsi="Times New Roman"/>
          <w:szCs w:val="24"/>
        </w:rPr>
        <w:t xml:space="preserve"> the authorities of the European Union and Member States to take a more active part in this relation through effective implementation of the initiatives of the EU Visibility Strategy and other necessary initiatives;</w:t>
      </w:r>
    </w:p>
    <w:p w:rsidR="00963A20" w:rsidRPr="00963A20" w:rsidRDefault="005C0C0E" w:rsidP="00963A20">
      <w:pPr>
        <w:spacing w:line="360" w:lineRule="auto"/>
        <w:ind w:firstLine="720"/>
        <w:jc w:val="both"/>
        <w:rPr>
          <w:rFonts w:ascii="Times New Roman" w:hAnsi="Times New Roman"/>
          <w:b/>
          <w:szCs w:val="24"/>
        </w:rPr>
      </w:pPr>
      <w:r>
        <w:rPr>
          <w:rFonts w:ascii="Times New Roman" w:hAnsi="Times New Roman"/>
          <w:b/>
          <w:szCs w:val="24"/>
        </w:rPr>
        <w:t>invites</w:t>
      </w:r>
      <w:r w:rsidR="00963A20" w:rsidRPr="00963A20">
        <w:rPr>
          <w:rFonts w:ascii="Times New Roman" w:hAnsi="Times New Roman"/>
          <w:szCs w:val="24"/>
        </w:rPr>
        <w:t xml:space="preserve"> the parliaments of the Member States of the European Union and the European Parliament to enter</w:t>
      </w:r>
      <w:r>
        <w:rPr>
          <w:rFonts w:ascii="Times New Roman" w:hAnsi="Times New Roman"/>
          <w:szCs w:val="24"/>
        </w:rPr>
        <w:t>,</w:t>
      </w:r>
      <w:r w:rsidR="00963A20" w:rsidRPr="00963A20">
        <w:rPr>
          <w:rFonts w:ascii="Times New Roman" w:hAnsi="Times New Roman"/>
          <w:szCs w:val="24"/>
        </w:rPr>
        <w:t xml:space="preserve"> </w:t>
      </w:r>
      <w:r w:rsidRPr="00963A20">
        <w:rPr>
          <w:rFonts w:ascii="Times New Roman" w:hAnsi="Times New Roman"/>
          <w:szCs w:val="24"/>
        </w:rPr>
        <w:t>already now</w:t>
      </w:r>
      <w:r>
        <w:rPr>
          <w:rFonts w:ascii="Times New Roman" w:hAnsi="Times New Roman"/>
          <w:szCs w:val="24"/>
        </w:rPr>
        <w:t>,</w:t>
      </w:r>
      <w:r w:rsidRPr="00963A20">
        <w:rPr>
          <w:rFonts w:ascii="Times New Roman" w:hAnsi="Times New Roman"/>
          <w:szCs w:val="24"/>
        </w:rPr>
        <w:t xml:space="preserve"> </w:t>
      </w:r>
      <w:r w:rsidR="00963A20" w:rsidRPr="00963A20">
        <w:rPr>
          <w:rFonts w:ascii="Times New Roman" w:hAnsi="Times New Roman"/>
          <w:szCs w:val="24"/>
        </w:rPr>
        <w:t xml:space="preserve">into preparations for the fastest possible ratification of </w:t>
      </w:r>
      <w:r>
        <w:rPr>
          <w:rFonts w:ascii="Times New Roman" w:hAnsi="Times New Roman"/>
          <w:szCs w:val="24"/>
        </w:rPr>
        <w:t xml:space="preserve">the </w:t>
      </w:r>
      <w:r w:rsidR="00963A20" w:rsidRPr="00963A20">
        <w:rPr>
          <w:rFonts w:ascii="Times New Roman" w:hAnsi="Times New Roman"/>
          <w:szCs w:val="24"/>
        </w:rPr>
        <w:t>Association Agreements between the EU and Georgia, Moldova and Ukraine;</w:t>
      </w:r>
      <w:r w:rsidR="00963A20" w:rsidRPr="00963A20">
        <w:rPr>
          <w:rFonts w:ascii="Times New Roman" w:hAnsi="Times New Roman"/>
          <w:b/>
          <w:szCs w:val="24"/>
        </w:rPr>
        <w:t xml:space="preserve"> </w:t>
      </w:r>
    </w:p>
    <w:p w:rsidR="00963A20" w:rsidRPr="00963A20" w:rsidRDefault="00963A20" w:rsidP="00963A20">
      <w:pPr>
        <w:spacing w:line="360" w:lineRule="auto"/>
        <w:ind w:firstLine="720"/>
        <w:jc w:val="both"/>
        <w:rPr>
          <w:rFonts w:ascii="Times New Roman" w:hAnsi="Times New Roman"/>
          <w:szCs w:val="24"/>
        </w:rPr>
      </w:pPr>
      <w:r w:rsidRPr="00963A20">
        <w:rPr>
          <w:rFonts w:ascii="Times New Roman" w:hAnsi="Times New Roman"/>
          <w:b/>
          <w:szCs w:val="24"/>
        </w:rPr>
        <w:t xml:space="preserve">condemns </w:t>
      </w:r>
      <w:r w:rsidRPr="00963A20">
        <w:rPr>
          <w:rFonts w:ascii="Times New Roman" w:hAnsi="Times New Roman"/>
          <w:szCs w:val="24"/>
        </w:rPr>
        <w:t xml:space="preserve">continuous Russia’s attempts to compromise </w:t>
      </w:r>
      <w:r w:rsidR="005C0C0E">
        <w:rPr>
          <w:rFonts w:ascii="Times New Roman" w:hAnsi="Times New Roman"/>
          <w:szCs w:val="24"/>
        </w:rPr>
        <w:t xml:space="preserve">the </w:t>
      </w:r>
      <w:r w:rsidR="005C0C0E" w:rsidRPr="00963A20">
        <w:rPr>
          <w:rFonts w:ascii="Times New Roman" w:hAnsi="Times New Roman"/>
          <w:szCs w:val="24"/>
        </w:rPr>
        <w:t xml:space="preserve">territorial integrity </w:t>
      </w:r>
      <w:r w:rsidR="005C0C0E">
        <w:rPr>
          <w:rFonts w:ascii="Times New Roman" w:hAnsi="Times New Roman"/>
          <w:szCs w:val="24"/>
        </w:rPr>
        <w:t xml:space="preserve">of </w:t>
      </w:r>
      <w:r w:rsidRPr="00963A20">
        <w:rPr>
          <w:rFonts w:ascii="Times New Roman" w:hAnsi="Times New Roman"/>
          <w:szCs w:val="24"/>
        </w:rPr>
        <w:t>Ukraine, Moldova and Georgia by aggravating internal conflicts</w:t>
      </w:r>
      <w:r w:rsidR="005C0C0E">
        <w:rPr>
          <w:rFonts w:ascii="Times New Roman" w:hAnsi="Times New Roman"/>
          <w:szCs w:val="24"/>
        </w:rPr>
        <w:t>,</w:t>
      </w:r>
      <w:r w:rsidRPr="00963A20">
        <w:rPr>
          <w:rFonts w:ascii="Times New Roman" w:hAnsi="Times New Roman"/>
          <w:szCs w:val="24"/>
        </w:rPr>
        <w:t xml:space="preserve"> fuelling separatism </w:t>
      </w:r>
      <w:r w:rsidR="005C0C0E">
        <w:rPr>
          <w:rFonts w:ascii="Times New Roman" w:hAnsi="Times New Roman"/>
          <w:szCs w:val="24"/>
        </w:rPr>
        <w:t>and seeking</w:t>
      </w:r>
      <w:r w:rsidRPr="00963A20">
        <w:rPr>
          <w:rFonts w:ascii="Times New Roman" w:hAnsi="Times New Roman"/>
          <w:szCs w:val="24"/>
        </w:rPr>
        <w:t xml:space="preserve"> to preclude these states from making an independent choice of their direction in the political and economic integration; </w:t>
      </w:r>
    </w:p>
    <w:p w:rsidR="00963A20" w:rsidRPr="00963A20" w:rsidRDefault="00963A20" w:rsidP="00963A20">
      <w:pPr>
        <w:spacing w:line="360" w:lineRule="auto"/>
        <w:ind w:firstLine="720"/>
        <w:jc w:val="both"/>
        <w:rPr>
          <w:rFonts w:ascii="Times New Roman" w:hAnsi="Times New Roman"/>
          <w:szCs w:val="24"/>
        </w:rPr>
      </w:pPr>
      <w:r w:rsidRPr="00963A20">
        <w:rPr>
          <w:rFonts w:ascii="Times New Roman" w:hAnsi="Times New Roman"/>
          <w:b/>
          <w:szCs w:val="24"/>
        </w:rPr>
        <w:t>addresses</w:t>
      </w:r>
      <w:r w:rsidRPr="00963A20">
        <w:rPr>
          <w:rFonts w:ascii="Times New Roman" w:hAnsi="Times New Roman"/>
          <w:szCs w:val="24"/>
        </w:rPr>
        <w:t xml:space="preserve"> the parliaments and governments of the Member States of the European Union, the European Parliament and other institutions calling for full awareness of their own responsibility for secure and democratic future of </w:t>
      </w:r>
      <w:r w:rsidR="005C0C0E">
        <w:rPr>
          <w:rFonts w:ascii="Times New Roman" w:hAnsi="Times New Roman"/>
          <w:szCs w:val="24"/>
        </w:rPr>
        <w:t>the whole of</w:t>
      </w:r>
      <w:r w:rsidRPr="00963A20">
        <w:rPr>
          <w:rFonts w:ascii="Times New Roman" w:hAnsi="Times New Roman"/>
          <w:szCs w:val="24"/>
        </w:rPr>
        <w:t xml:space="preserve"> Europe, demonstration of their strong solidarity with people of the Eastern Partnership countries which decided to link their future with the European Union and support for their choice by all possible means.</w:t>
      </w:r>
    </w:p>
    <w:p w:rsidR="00FB28D8" w:rsidRDefault="00FB28D8" w:rsidP="00963A20">
      <w:pPr>
        <w:tabs>
          <w:tab w:val="right" w:pos="8730"/>
        </w:tabs>
        <w:spacing w:line="360" w:lineRule="auto"/>
        <w:rPr>
          <w:rStyle w:val="Pareigos"/>
          <w:rFonts w:ascii="Times New Roman" w:hAnsi="Times New Roman"/>
          <w:caps w:val="0"/>
          <w:szCs w:val="24"/>
        </w:rPr>
      </w:pPr>
    </w:p>
    <w:p w:rsidR="00FB28D8" w:rsidRDefault="00FB28D8" w:rsidP="00963A20">
      <w:pPr>
        <w:tabs>
          <w:tab w:val="right" w:pos="8730"/>
        </w:tabs>
        <w:spacing w:line="360" w:lineRule="auto"/>
        <w:rPr>
          <w:rStyle w:val="Pareigos"/>
          <w:rFonts w:ascii="Times New Roman" w:hAnsi="Times New Roman"/>
          <w:caps w:val="0"/>
          <w:szCs w:val="24"/>
        </w:rPr>
      </w:pPr>
    </w:p>
    <w:p w:rsidR="00963A20" w:rsidRPr="00963A20" w:rsidRDefault="00FB28D8" w:rsidP="00FB28D8">
      <w:pPr>
        <w:tabs>
          <w:tab w:val="right" w:pos="8730"/>
        </w:tabs>
        <w:spacing w:line="360" w:lineRule="auto"/>
        <w:rPr>
          <w:rFonts w:ascii="Times New Roman" w:hAnsi="Times New Roman"/>
          <w:szCs w:val="24"/>
        </w:rPr>
      </w:pPr>
      <w:r>
        <w:rPr>
          <w:rStyle w:val="Pareigos"/>
          <w:rFonts w:ascii="Times New Roman" w:hAnsi="Times New Roman"/>
          <w:caps w:val="0"/>
          <w:szCs w:val="24"/>
        </w:rPr>
        <w:t>S</w:t>
      </w:r>
      <w:r w:rsidR="00963A20" w:rsidRPr="00963A20">
        <w:rPr>
          <w:rStyle w:val="Pareigos"/>
          <w:rFonts w:ascii="Times New Roman" w:hAnsi="Times New Roman"/>
          <w:caps w:val="0"/>
          <w:szCs w:val="24"/>
        </w:rPr>
        <w:t>peaker of the Seimas</w:t>
      </w:r>
      <w:r w:rsidR="00963A20" w:rsidRPr="00963A20">
        <w:rPr>
          <w:rStyle w:val="Pareigos"/>
          <w:rFonts w:ascii="Times New Roman" w:hAnsi="Times New Roman"/>
          <w:caps w:val="0"/>
          <w:szCs w:val="24"/>
        </w:rPr>
        <w:tab/>
      </w:r>
      <w:bookmarkStart w:id="3" w:name="parasas"/>
      <w:r w:rsidR="00963A20" w:rsidRPr="00963A20">
        <w:rPr>
          <w:rFonts w:ascii="Times New Roman" w:hAnsi="Times New Roman"/>
          <w:szCs w:val="24"/>
        </w:rPr>
        <w:fldChar w:fldCharType="begin">
          <w:ffData>
            <w:name w:val="parasas"/>
            <w:enabled/>
            <w:calcOnExit w:val="0"/>
            <w:textInput>
              <w:default w:val="Loreta Graužinienė"/>
            </w:textInput>
          </w:ffData>
        </w:fldChar>
      </w:r>
      <w:r w:rsidR="00963A20" w:rsidRPr="00963A20">
        <w:rPr>
          <w:rFonts w:ascii="Times New Roman" w:hAnsi="Times New Roman"/>
          <w:szCs w:val="24"/>
        </w:rPr>
        <w:instrText xml:space="preserve"> FORMTEXT </w:instrText>
      </w:r>
      <w:r w:rsidR="00963A20" w:rsidRPr="00963A20">
        <w:rPr>
          <w:rFonts w:ascii="Times New Roman" w:hAnsi="Times New Roman"/>
          <w:szCs w:val="24"/>
        </w:rPr>
      </w:r>
      <w:r w:rsidR="00963A20" w:rsidRPr="00963A20">
        <w:rPr>
          <w:rFonts w:ascii="Times New Roman" w:hAnsi="Times New Roman"/>
          <w:szCs w:val="24"/>
        </w:rPr>
        <w:fldChar w:fldCharType="separate"/>
      </w:r>
      <w:r w:rsidR="00963A20" w:rsidRPr="00963A20">
        <w:rPr>
          <w:rFonts w:ascii="Times New Roman" w:hAnsi="Times New Roman"/>
          <w:noProof/>
          <w:szCs w:val="24"/>
        </w:rPr>
        <w:t>Loreta Graužinienė</w:t>
      </w:r>
      <w:bookmarkEnd w:id="3"/>
      <w:r w:rsidR="00963A20" w:rsidRPr="00963A20">
        <w:rPr>
          <w:rFonts w:ascii="Times New Roman" w:hAnsi="Times New Roman"/>
          <w:szCs w:val="24"/>
        </w:rPr>
        <w:fldChar w:fldCharType="end"/>
      </w:r>
    </w:p>
    <w:p w:rsidR="00963A20" w:rsidRPr="00963A20" w:rsidRDefault="00963A20" w:rsidP="00963A20">
      <w:pPr>
        <w:spacing w:line="360" w:lineRule="auto"/>
        <w:rPr>
          <w:rFonts w:ascii="Times New Roman" w:hAnsi="Times New Roman"/>
          <w:szCs w:val="24"/>
        </w:rPr>
      </w:pPr>
    </w:p>
    <w:p w:rsidR="00963A20" w:rsidRPr="00963A20" w:rsidRDefault="00963A20" w:rsidP="00963A20">
      <w:pPr>
        <w:spacing w:line="360" w:lineRule="auto"/>
        <w:ind w:firstLine="720"/>
        <w:jc w:val="both"/>
        <w:rPr>
          <w:rFonts w:ascii="Times New Roman" w:hAnsi="Times New Roman"/>
          <w:szCs w:val="24"/>
        </w:rPr>
      </w:pPr>
    </w:p>
    <w:sectPr w:rsidR="00963A20" w:rsidRPr="00963A20" w:rsidSect="0033686B">
      <w:headerReference w:type="even" r:id="rId9"/>
      <w:headerReference w:type="default" r:id="rId10"/>
      <w:footerReference w:type="even" r:id="rId11"/>
      <w:type w:val="continuous"/>
      <w:pgSz w:w="11907" w:h="16840" w:code="9"/>
      <w:pgMar w:top="1440" w:right="1152" w:bottom="1152" w:left="2016" w:header="706" w:footer="706" w:gutter="0"/>
      <w:cols w:space="1296"/>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809" w:rsidRDefault="00A43809">
      <w:r>
        <w:separator/>
      </w:r>
    </w:p>
  </w:endnote>
  <w:endnote w:type="continuationSeparator" w:id="0">
    <w:p w:rsidR="00A43809" w:rsidRDefault="00A43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imesLT">
    <w:altName w:val="Times New Roman"/>
    <w:charset w:val="BA"/>
    <w:family w:val="roman"/>
    <w:pitch w:val="variable"/>
    <w:sig w:usb0="00000001" w:usb1="00000000" w:usb2="00000000" w:usb3="00000000" w:csb0="0000009F" w:csb1="00000000"/>
  </w:font>
  <w:font w:name="HelveticaLT">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809" w:rsidRDefault="00A43809">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A43809" w:rsidRDefault="00A43809">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809" w:rsidRDefault="00A43809">
      <w:r>
        <w:separator/>
      </w:r>
    </w:p>
  </w:footnote>
  <w:footnote w:type="continuationSeparator" w:id="0">
    <w:p w:rsidR="00A43809" w:rsidRDefault="00A438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809" w:rsidRDefault="00A4380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A43809" w:rsidRDefault="00A43809">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809" w:rsidRDefault="00A4380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21244F">
      <w:rPr>
        <w:rStyle w:val="Puslapionumeris"/>
        <w:noProof/>
      </w:rPr>
      <w:t>3</w:t>
    </w:r>
    <w:r>
      <w:rPr>
        <w:rStyle w:val="Puslapionumeris"/>
      </w:rPr>
      <w:fldChar w:fldCharType="end"/>
    </w:r>
  </w:p>
  <w:p w:rsidR="00A43809" w:rsidRDefault="00A43809">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B0881"/>
    <w:multiLevelType w:val="hybridMultilevel"/>
    <w:tmpl w:val="7A16295E"/>
    <w:lvl w:ilvl="0" w:tplc="84BCA2CC">
      <w:start w:val="1"/>
      <w:numFmt w:val="decimal"/>
      <w:lvlText w:val="%1."/>
      <w:lvlJc w:val="left"/>
      <w:pPr>
        <w:ind w:left="360" w:hanging="360"/>
      </w:pPr>
      <w:rPr>
        <w:b w:val="0"/>
        <w:i w:val="0"/>
      </w:rPr>
    </w:lvl>
    <w:lvl w:ilvl="1" w:tplc="04270019" w:tentative="1">
      <w:start w:val="1"/>
      <w:numFmt w:val="lowerLetter"/>
      <w:lvlText w:val="%2."/>
      <w:lvlJc w:val="left"/>
      <w:pPr>
        <w:ind w:left="975" w:hanging="360"/>
      </w:pPr>
    </w:lvl>
    <w:lvl w:ilvl="2" w:tplc="0427001B" w:tentative="1">
      <w:start w:val="1"/>
      <w:numFmt w:val="lowerRoman"/>
      <w:lvlText w:val="%3."/>
      <w:lvlJc w:val="right"/>
      <w:pPr>
        <w:ind w:left="1695" w:hanging="180"/>
      </w:pPr>
    </w:lvl>
    <w:lvl w:ilvl="3" w:tplc="0427000F" w:tentative="1">
      <w:start w:val="1"/>
      <w:numFmt w:val="decimal"/>
      <w:lvlText w:val="%4."/>
      <w:lvlJc w:val="left"/>
      <w:pPr>
        <w:ind w:left="2415" w:hanging="360"/>
      </w:pPr>
    </w:lvl>
    <w:lvl w:ilvl="4" w:tplc="04270019" w:tentative="1">
      <w:start w:val="1"/>
      <w:numFmt w:val="lowerLetter"/>
      <w:lvlText w:val="%5."/>
      <w:lvlJc w:val="left"/>
      <w:pPr>
        <w:ind w:left="3135" w:hanging="360"/>
      </w:pPr>
    </w:lvl>
    <w:lvl w:ilvl="5" w:tplc="0427001B" w:tentative="1">
      <w:start w:val="1"/>
      <w:numFmt w:val="lowerRoman"/>
      <w:lvlText w:val="%6."/>
      <w:lvlJc w:val="right"/>
      <w:pPr>
        <w:ind w:left="3855" w:hanging="180"/>
      </w:pPr>
    </w:lvl>
    <w:lvl w:ilvl="6" w:tplc="0427000F" w:tentative="1">
      <w:start w:val="1"/>
      <w:numFmt w:val="decimal"/>
      <w:lvlText w:val="%7."/>
      <w:lvlJc w:val="left"/>
      <w:pPr>
        <w:ind w:left="4575" w:hanging="360"/>
      </w:pPr>
    </w:lvl>
    <w:lvl w:ilvl="7" w:tplc="04270019" w:tentative="1">
      <w:start w:val="1"/>
      <w:numFmt w:val="lowerLetter"/>
      <w:lvlText w:val="%8."/>
      <w:lvlJc w:val="left"/>
      <w:pPr>
        <w:ind w:left="5295" w:hanging="360"/>
      </w:pPr>
    </w:lvl>
    <w:lvl w:ilvl="8" w:tplc="0427001B" w:tentative="1">
      <w:start w:val="1"/>
      <w:numFmt w:val="lowerRoman"/>
      <w:lvlText w:val="%9."/>
      <w:lvlJc w:val="right"/>
      <w:pPr>
        <w:ind w:left="6015" w:hanging="180"/>
      </w:pPr>
    </w:lvl>
  </w:abstractNum>
  <w:abstractNum w:abstractNumId="1">
    <w:nsid w:val="471A7646"/>
    <w:multiLevelType w:val="hybridMultilevel"/>
    <w:tmpl w:val="24B236C0"/>
    <w:lvl w:ilvl="0" w:tplc="D0F8577A">
      <w:start w:val="1"/>
      <w:numFmt w:val="decimal"/>
      <w:lvlText w:val="%1."/>
      <w:lvlJc w:val="left"/>
      <w:pPr>
        <w:ind w:left="720" w:hanging="360"/>
      </w:pPr>
      <w:rPr>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109"/>
    <w:rsid w:val="00000663"/>
    <w:rsid w:val="00001F8F"/>
    <w:rsid w:val="00005F23"/>
    <w:rsid w:val="00010B96"/>
    <w:rsid w:val="000170F0"/>
    <w:rsid w:val="000535F2"/>
    <w:rsid w:val="00070215"/>
    <w:rsid w:val="000844C5"/>
    <w:rsid w:val="00087075"/>
    <w:rsid w:val="000B2881"/>
    <w:rsid w:val="000B5985"/>
    <w:rsid w:val="000E40D8"/>
    <w:rsid w:val="00133A0F"/>
    <w:rsid w:val="00141744"/>
    <w:rsid w:val="001C2D4A"/>
    <w:rsid w:val="001D02DE"/>
    <w:rsid w:val="001F33A2"/>
    <w:rsid w:val="00212431"/>
    <w:rsid w:val="0021244F"/>
    <w:rsid w:val="002329F6"/>
    <w:rsid w:val="002704D8"/>
    <w:rsid w:val="002A7BF1"/>
    <w:rsid w:val="002D7D05"/>
    <w:rsid w:val="002F0FFC"/>
    <w:rsid w:val="002F2138"/>
    <w:rsid w:val="00303BFC"/>
    <w:rsid w:val="0033686B"/>
    <w:rsid w:val="00384AE0"/>
    <w:rsid w:val="003A1FDD"/>
    <w:rsid w:val="003B3109"/>
    <w:rsid w:val="0044566D"/>
    <w:rsid w:val="0049103E"/>
    <w:rsid w:val="00496751"/>
    <w:rsid w:val="004B535E"/>
    <w:rsid w:val="004D3774"/>
    <w:rsid w:val="004E73AF"/>
    <w:rsid w:val="005273B4"/>
    <w:rsid w:val="00527D68"/>
    <w:rsid w:val="00532AF5"/>
    <w:rsid w:val="0056506D"/>
    <w:rsid w:val="00575E24"/>
    <w:rsid w:val="00580F96"/>
    <w:rsid w:val="005B68B0"/>
    <w:rsid w:val="005C0C0E"/>
    <w:rsid w:val="006068F3"/>
    <w:rsid w:val="006074C4"/>
    <w:rsid w:val="0061253D"/>
    <w:rsid w:val="00625C62"/>
    <w:rsid w:val="00667379"/>
    <w:rsid w:val="006C261F"/>
    <w:rsid w:val="00707F47"/>
    <w:rsid w:val="00723C31"/>
    <w:rsid w:val="007256A2"/>
    <w:rsid w:val="007636FF"/>
    <w:rsid w:val="00791145"/>
    <w:rsid w:val="007B25FD"/>
    <w:rsid w:val="007C14B5"/>
    <w:rsid w:val="007F0F87"/>
    <w:rsid w:val="00820B4A"/>
    <w:rsid w:val="00826796"/>
    <w:rsid w:val="008430D6"/>
    <w:rsid w:val="00852D45"/>
    <w:rsid w:val="00856C56"/>
    <w:rsid w:val="00870874"/>
    <w:rsid w:val="008A4D9B"/>
    <w:rsid w:val="008D477D"/>
    <w:rsid w:val="008F0696"/>
    <w:rsid w:val="008F2F48"/>
    <w:rsid w:val="00913B53"/>
    <w:rsid w:val="009440F2"/>
    <w:rsid w:val="00963A20"/>
    <w:rsid w:val="0099437C"/>
    <w:rsid w:val="009A4D0B"/>
    <w:rsid w:val="009C1342"/>
    <w:rsid w:val="009F1ECA"/>
    <w:rsid w:val="00A02024"/>
    <w:rsid w:val="00A43809"/>
    <w:rsid w:val="00A52138"/>
    <w:rsid w:val="00A535A0"/>
    <w:rsid w:val="00AE40B4"/>
    <w:rsid w:val="00B14665"/>
    <w:rsid w:val="00B1687B"/>
    <w:rsid w:val="00B23B9C"/>
    <w:rsid w:val="00B353D5"/>
    <w:rsid w:val="00B630F2"/>
    <w:rsid w:val="00B87D10"/>
    <w:rsid w:val="00C20EB1"/>
    <w:rsid w:val="00C55F37"/>
    <w:rsid w:val="00C81EBA"/>
    <w:rsid w:val="00C82D48"/>
    <w:rsid w:val="00D03992"/>
    <w:rsid w:val="00D14033"/>
    <w:rsid w:val="00D55C22"/>
    <w:rsid w:val="00D916F4"/>
    <w:rsid w:val="00DD1485"/>
    <w:rsid w:val="00DD65DA"/>
    <w:rsid w:val="00DE3E34"/>
    <w:rsid w:val="00DE75BE"/>
    <w:rsid w:val="00E05B3C"/>
    <w:rsid w:val="00E33E8B"/>
    <w:rsid w:val="00E35FB9"/>
    <w:rsid w:val="00E46308"/>
    <w:rsid w:val="00E65B5A"/>
    <w:rsid w:val="00E971B5"/>
    <w:rsid w:val="00EB23D3"/>
    <w:rsid w:val="00EC4123"/>
    <w:rsid w:val="00EF2EE7"/>
    <w:rsid w:val="00F24520"/>
    <w:rsid w:val="00F825AD"/>
    <w:rsid w:val="00FB28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rFonts w:ascii="TimesLT" w:hAnsi="TimesLT"/>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Įstatymo pavad."/>
    <w:basedOn w:val="prastasis"/>
    <w:pPr>
      <w:spacing w:line="360" w:lineRule="auto"/>
      <w:ind w:firstLine="720"/>
      <w:jc w:val="center"/>
    </w:pPr>
    <w:rPr>
      <w:caps/>
    </w:rPr>
  </w:style>
  <w:style w:type="paragraph" w:styleId="Porat">
    <w:name w:val="footer"/>
    <w:basedOn w:val="prastasis"/>
    <w:semiHidden/>
    <w:pPr>
      <w:tabs>
        <w:tab w:val="center" w:pos="4320"/>
        <w:tab w:val="right" w:pos="8640"/>
      </w:tabs>
      <w:spacing w:line="360" w:lineRule="auto"/>
      <w:ind w:firstLine="720"/>
      <w:jc w:val="both"/>
    </w:pPr>
  </w:style>
  <w:style w:type="character" w:styleId="Puslapionumeris">
    <w:name w:val="page number"/>
    <w:basedOn w:val="Numatytasispastraiposriftas"/>
    <w:semiHidden/>
  </w:style>
  <w:style w:type="character" w:customStyle="1" w:styleId="Datadiena">
    <w:name w:val="Data_diena"/>
    <w:basedOn w:val="Numatytasispastraiposriftas"/>
  </w:style>
  <w:style w:type="character" w:customStyle="1" w:styleId="statymoNr">
    <w:name w:val="Įstatymo Nr."/>
    <w:rPr>
      <w:rFonts w:ascii="HelveticaLT" w:hAnsi="HelveticaLT"/>
    </w:rPr>
  </w:style>
  <w:style w:type="character" w:customStyle="1" w:styleId="Datamnuo">
    <w:name w:val="Data_mënuo"/>
    <w:rPr>
      <w:rFonts w:ascii="HelveticaLT" w:hAnsi="HelveticaLT"/>
      <w:sz w:val="24"/>
    </w:rPr>
  </w:style>
  <w:style w:type="character" w:customStyle="1" w:styleId="Datametai">
    <w:name w:val="Data_metai"/>
    <w:basedOn w:val="Numatytasispastraiposriftas"/>
  </w:style>
  <w:style w:type="character" w:customStyle="1" w:styleId="Pareigos">
    <w:name w:val="Pareigos"/>
    <w:rPr>
      <w:rFonts w:ascii="TimesLT" w:hAnsi="TimesLT"/>
      <w:caps/>
      <w:sz w:val="24"/>
    </w:rPr>
  </w:style>
  <w:style w:type="paragraph" w:styleId="Antrats">
    <w:name w:val="header"/>
    <w:basedOn w:val="prastasis"/>
    <w:semiHidden/>
    <w:pPr>
      <w:tabs>
        <w:tab w:val="center" w:pos="4153"/>
        <w:tab w:val="right" w:pos="8306"/>
      </w:tabs>
    </w:pPr>
  </w:style>
  <w:style w:type="paragraph" w:styleId="Debesliotekstas">
    <w:name w:val="Balloon Text"/>
    <w:basedOn w:val="prastasis"/>
    <w:link w:val="DebesliotekstasDiagrama"/>
    <w:uiPriority w:val="99"/>
    <w:semiHidden/>
    <w:unhideWhenUsed/>
    <w:rsid w:val="001C2D4A"/>
    <w:rPr>
      <w:rFonts w:ascii="Tahoma" w:hAnsi="Tahoma" w:cs="Tahoma"/>
      <w:sz w:val="16"/>
      <w:szCs w:val="16"/>
    </w:rPr>
  </w:style>
  <w:style w:type="character" w:customStyle="1" w:styleId="DebesliotekstasDiagrama">
    <w:name w:val="Debesėlio tekstas Diagrama"/>
    <w:link w:val="Debesliotekstas"/>
    <w:uiPriority w:val="99"/>
    <w:semiHidden/>
    <w:rsid w:val="001C2D4A"/>
    <w:rPr>
      <w:rFonts w:ascii="Tahoma" w:hAnsi="Tahoma" w:cs="Tahoma"/>
      <w:sz w:val="16"/>
      <w:szCs w:val="16"/>
      <w:lang w:val="en-GB" w:eastAsia="en-GB"/>
    </w:rPr>
  </w:style>
  <w:style w:type="paragraph" w:styleId="Sraopastraipa">
    <w:name w:val="List Paragraph"/>
    <w:basedOn w:val="prastasis"/>
    <w:uiPriority w:val="99"/>
    <w:qFormat/>
    <w:rsid w:val="00C81EBA"/>
    <w:pPr>
      <w:ind w:left="720"/>
    </w:pPr>
    <w:rPr>
      <w:rFonts w:ascii="Calibri" w:eastAsiaTheme="minorHAnsi" w:hAnsi="Calibri" w:cs="Calibri"/>
      <w:sz w:val="22"/>
      <w:szCs w:val="22"/>
    </w:rPr>
  </w:style>
  <w:style w:type="character" w:styleId="Komentaronuoroda">
    <w:name w:val="annotation reference"/>
    <w:basedOn w:val="Numatytasispastraiposriftas"/>
    <w:uiPriority w:val="99"/>
    <w:semiHidden/>
    <w:unhideWhenUsed/>
    <w:rsid w:val="00303BFC"/>
    <w:rPr>
      <w:sz w:val="16"/>
      <w:szCs w:val="16"/>
    </w:rPr>
  </w:style>
  <w:style w:type="paragraph" w:styleId="Komentarotekstas">
    <w:name w:val="annotation text"/>
    <w:basedOn w:val="prastasis"/>
    <w:link w:val="KomentarotekstasDiagrama"/>
    <w:uiPriority w:val="99"/>
    <w:semiHidden/>
    <w:unhideWhenUsed/>
    <w:rsid w:val="00303BFC"/>
    <w:rPr>
      <w:sz w:val="20"/>
    </w:rPr>
  </w:style>
  <w:style w:type="character" w:customStyle="1" w:styleId="KomentarotekstasDiagrama">
    <w:name w:val="Komentaro tekstas Diagrama"/>
    <w:basedOn w:val="Numatytasispastraiposriftas"/>
    <w:link w:val="Komentarotekstas"/>
    <w:uiPriority w:val="99"/>
    <w:semiHidden/>
    <w:rsid w:val="00303BFC"/>
    <w:rPr>
      <w:rFonts w:ascii="TimesLT" w:hAnsi="TimesLT"/>
      <w:lang w:val="en-GB" w:eastAsia="en-GB"/>
    </w:rPr>
  </w:style>
  <w:style w:type="paragraph" w:styleId="Komentarotema">
    <w:name w:val="annotation subject"/>
    <w:basedOn w:val="Komentarotekstas"/>
    <w:next w:val="Komentarotekstas"/>
    <w:link w:val="KomentarotemaDiagrama"/>
    <w:uiPriority w:val="99"/>
    <w:semiHidden/>
    <w:unhideWhenUsed/>
    <w:rsid w:val="00303BFC"/>
    <w:rPr>
      <w:b/>
      <w:bCs/>
    </w:rPr>
  </w:style>
  <w:style w:type="character" w:customStyle="1" w:styleId="KomentarotemaDiagrama">
    <w:name w:val="Komentaro tema Diagrama"/>
    <w:basedOn w:val="KomentarotekstasDiagrama"/>
    <w:link w:val="Komentarotema"/>
    <w:uiPriority w:val="99"/>
    <w:semiHidden/>
    <w:rsid w:val="00303BFC"/>
    <w:rPr>
      <w:rFonts w:ascii="TimesLT" w:hAnsi="TimesLT"/>
      <w:b/>
      <w:bCs/>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rFonts w:ascii="TimesLT" w:hAnsi="TimesLT"/>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Įstatymo pavad."/>
    <w:basedOn w:val="prastasis"/>
    <w:pPr>
      <w:spacing w:line="360" w:lineRule="auto"/>
      <w:ind w:firstLine="720"/>
      <w:jc w:val="center"/>
    </w:pPr>
    <w:rPr>
      <w:caps/>
    </w:rPr>
  </w:style>
  <w:style w:type="paragraph" w:styleId="Porat">
    <w:name w:val="footer"/>
    <w:basedOn w:val="prastasis"/>
    <w:semiHidden/>
    <w:pPr>
      <w:tabs>
        <w:tab w:val="center" w:pos="4320"/>
        <w:tab w:val="right" w:pos="8640"/>
      </w:tabs>
      <w:spacing w:line="360" w:lineRule="auto"/>
      <w:ind w:firstLine="720"/>
      <w:jc w:val="both"/>
    </w:pPr>
  </w:style>
  <w:style w:type="character" w:styleId="Puslapionumeris">
    <w:name w:val="page number"/>
    <w:basedOn w:val="Numatytasispastraiposriftas"/>
    <w:semiHidden/>
  </w:style>
  <w:style w:type="character" w:customStyle="1" w:styleId="Datadiena">
    <w:name w:val="Data_diena"/>
    <w:basedOn w:val="Numatytasispastraiposriftas"/>
  </w:style>
  <w:style w:type="character" w:customStyle="1" w:styleId="statymoNr">
    <w:name w:val="Įstatymo Nr."/>
    <w:rPr>
      <w:rFonts w:ascii="HelveticaLT" w:hAnsi="HelveticaLT"/>
    </w:rPr>
  </w:style>
  <w:style w:type="character" w:customStyle="1" w:styleId="Datamnuo">
    <w:name w:val="Data_mënuo"/>
    <w:rPr>
      <w:rFonts w:ascii="HelveticaLT" w:hAnsi="HelveticaLT"/>
      <w:sz w:val="24"/>
    </w:rPr>
  </w:style>
  <w:style w:type="character" w:customStyle="1" w:styleId="Datametai">
    <w:name w:val="Data_metai"/>
    <w:basedOn w:val="Numatytasispastraiposriftas"/>
  </w:style>
  <w:style w:type="character" w:customStyle="1" w:styleId="Pareigos">
    <w:name w:val="Pareigos"/>
    <w:rPr>
      <w:rFonts w:ascii="TimesLT" w:hAnsi="TimesLT"/>
      <w:caps/>
      <w:sz w:val="24"/>
    </w:rPr>
  </w:style>
  <w:style w:type="paragraph" w:styleId="Antrats">
    <w:name w:val="header"/>
    <w:basedOn w:val="prastasis"/>
    <w:semiHidden/>
    <w:pPr>
      <w:tabs>
        <w:tab w:val="center" w:pos="4153"/>
        <w:tab w:val="right" w:pos="8306"/>
      </w:tabs>
    </w:pPr>
  </w:style>
  <w:style w:type="paragraph" w:styleId="Debesliotekstas">
    <w:name w:val="Balloon Text"/>
    <w:basedOn w:val="prastasis"/>
    <w:link w:val="DebesliotekstasDiagrama"/>
    <w:uiPriority w:val="99"/>
    <w:semiHidden/>
    <w:unhideWhenUsed/>
    <w:rsid w:val="001C2D4A"/>
    <w:rPr>
      <w:rFonts w:ascii="Tahoma" w:hAnsi="Tahoma" w:cs="Tahoma"/>
      <w:sz w:val="16"/>
      <w:szCs w:val="16"/>
    </w:rPr>
  </w:style>
  <w:style w:type="character" w:customStyle="1" w:styleId="DebesliotekstasDiagrama">
    <w:name w:val="Debesėlio tekstas Diagrama"/>
    <w:link w:val="Debesliotekstas"/>
    <w:uiPriority w:val="99"/>
    <w:semiHidden/>
    <w:rsid w:val="001C2D4A"/>
    <w:rPr>
      <w:rFonts w:ascii="Tahoma" w:hAnsi="Tahoma" w:cs="Tahoma"/>
      <w:sz w:val="16"/>
      <w:szCs w:val="16"/>
      <w:lang w:val="en-GB" w:eastAsia="en-GB"/>
    </w:rPr>
  </w:style>
  <w:style w:type="paragraph" w:styleId="Sraopastraipa">
    <w:name w:val="List Paragraph"/>
    <w:basedOn w:val="prastasis"/>
    <w:uiPriority w:val="99"/>
    <w:qFormat/>
    <w:rsid w:val="00C81EBA"/>
    <w:pPr>
      <w:ind w:left="720"/>
    </w:pPr>
    <w:rPr>
      <w:rFonts w:ascii="Calibri" w:eastAsiaTheme="minorHAnsi" w:hAnsi="Calibri" w:cs="Calibri"/>
      <w:sz w:val="22"/>
      <w:szCs w:val="22"/>
    </w:rPr>
  </w:style>
  <w:style w:type="character" w:styleId="Komentaronuoroda">
    <w:name w:val="annotation reference"/>
    <w:basedOn w:val="Numatytasispastraiposriftas"/>
    <w:uiPriority w:val="99"/>
    <w:semiHidden/>
    <w:unhideWhenUsed/>
    <w:rsid w:val="00303BFC"/>
    <w:rPr>
      <w:sz w:val="16"/>
      <w:szCs w:val="16"/>
    </w:rPr>
  </w:style>
  <w:style w:type="paragraph" w:styleId="Komentarotekstas">
    <w:name w:val="annotation text"/>
    <w:basedOn w:val="prastasis"/>
    <w:link w:val="KomentarotekstasDiagrama"/>
    <w:uiPriority w:val="99"/>
    <w:semiHidden/>
    <w:unhideWhenUsed/>
    <w:rsid w:val="00303BFC"/>
    <w:rPr>
      <w:sz w:val="20"/>
    </w:rPr>
  </w:style>
  <w:style w:type="character" w:customStyle="1" w:styleId="KomentarotekstasDiagrama">
    <w:name w:val="Komentaro tekstas Diagrama"/>
    <w:basedOn w:val="Numatytasispastraiposriftas"/>
    <w:link w:val="Komentarotekstas"/>
    <w:uiPriority w:val="99"/>
    <w:semiHidden/>
    <w:rsid w:val="00303BFC"/>
    <w:rPr>
      <w:rFonts w:ascii="TimesLT" w:hAnsi="TimesLT"/>
      <w:lang w:val="en-GB" w:eastAsia="en-GB"/>
    </w:rPr>
  </w:style>
  <w:style w:type="paragraph" w:styleId="Komentarotema">
    <w:name w:val="annotation subject"/>
    <w:basedOn w:val="Komentarotekstas"/>
    <w:next w:val="Komentarotekstas"/>
    <w:link w:val="KomentarotemaDiagrama"/>
    <w:uiPriority w:val="99"/>
    <w:semiHidden/>
    <w:unhideWhenUsed/>
    <w:rsid w:val="00303BFC"/>
    <w:rPr>
      <w:b/>
      <w:bCs/>
    </w:rPr>
  </w:style>
  <w:style w:type="character" w:customStyle="1" w:styleId="KomentarotemaDiagrama">
    <w:name w:val="Komentaro tema Diagrama"/>
    <w:basedOn w:val="KomentarotekstasDiagrama"/>
    <w:link w:val="Komentarotema"/>
    <w:uiPriority w:val="99"/>
    <w:semiHidden/>
    <w:rsid w:val="00303BFC"/>
    <w:rPr>
      <w:rFonts w:ascii="TimesLT" w:hAnsi="TimesLT"/>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35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7BD14-04A0-4492-B634-71A59468D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4384</Words>
  <Characters>2499</Characters>
  <Application>Microsoft Office Word</Application>
  <DocSecurity>4</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Seimas</Company>
  <LinksUpToDate>false</LinksUpToDate>
  <CharactersWithSpaces>6870</CharactersWithSpaces>
  <SharedDoc>false</SharedDoc>
  <HLinks>
    <vt:vector size="6" baseType="variant">
      <vt:variant>
        <vt:i4>5832794</vt:i4>
      </vt:variant>
      <vt:variant>
        <vt:i4>1024</vt:i4>
      </vt:variant>
      <vt:variant>
        <vt:i4>1025</vt:i4>
      </vt:variant>
      <vt:variant>
        <vt:i4>1</vt:i4>
      </vt:variant>
      <vt:variant>
        <vt:lpwstr>C:\Documents and Settings\lipetr\My Documents\Vytis1.gif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MANIUŠKIENĖ Violeta</dc:creator>
  <cp:lastModifiedBy>PETROKAITĖ Milda</cp:lastModifiedBy>
  <cp:revision>2</cp:revision>
  <cp:lastPrinted>2014-05-09T05:38:00Z</cp:lastPrinted>
  <dcterms:created xsi:type="dcterms:W3CDTF">2014-05-09T08:13:00Z</dcterms:created>
  <dcterms:modified xsi:type="dcterms:W3CDTF">2014-05-09T08:13:00Z</dcterms:modified>
</cp:coreProperties>
</file>