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776" w:rsidRPr="0067519B" w:rsidRDefault="008F6776" w:rsidP="007236B9">
      <w:pPr>
        <w:spacing w:after="0" w:line="360" w:lineRule="auto"/>
        <w:jc w:val="center"/>
        <w:rPr>
          <w:rFonts w:ascii="Times New Roman" w:hAnsi="Times New Roman" w:cs="Times New Roman"/>
          <w:b/>
          <w:sz w:val="24"/>
          <w:szCs w:val="24"/>
        </w:rPr>
      </w:pPr>
      <w:r w:rsidRPr="00A470CA">
        <w:rPr>
          <w:rFonts w:ascii="Times New Roman" w:hAnsi="Times New Roman" w:cs="Times New Roman"/>
          <w:b/>
          <w:sz w:val="24"/>
          <w:szCs w:val="24"/>
        </w:rPr>
        <w:t xml:space="preserve">Pranešimas apie 2014 m. </w:t>
      </w:r>
      <w:r>
        <w:rPr>
          <w:rFonts w:ascii="Times New Roman" w:hAnsi="Times New Roman" w:cs="Times New Roman"/>
          <w:b/>
          <w:sz w:val="24"/>
          <w:szCs w:val="24"/>
        </w:rPr>
        <w:t>lapkričio 19 d.</w:t>
      </w:r>
      <w:r w:rsidRPr="00A470CA">
        <w:rPr>
          <w:rFonts w:ascii="Times New Roman" w:hAnsi="Times New Roman" w:cs="Times New Roman"/>
          <w:b/>
          <w:sz w:val="24"/>
          <w:szCs w:val="24"/>
        </w:rPr>
        <w:t xml:space="preserve"> posėdį</w:t>
      </w:r>
      <w:r>
        <w:rPr>
          <w:rFonts w:ascii="Times New Roman" w:hAnsi="Times New Roman" w:cs="Times New Roman"/>
          <w:b/>
          <w:sz w:val="24"/>
          <w:szCs w:val="24"/>
        </w:rPr>
        <w:t xml:space="preserve"> </w:t>
      </w:r>
    </w:p>
    <w:p w:rsidR="008F6776" w:rsidRPr="00EF21D5" w:rsidRDefault="008F6776" w:rsidP="00563A9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2014 m. lapkričio 19</w:t>
      </w:r>
      <w:r w:rsidRPr="00EF21D5">
        <w:rPr>
          <w:rFonts w:ascii="Times New Roman" w:hAnsi="Times New Roman" w:cs="Times New Roman"/>
          <w:sz w:val="24"/>
          <w:szCs w:val="24"/>
        </w:rPr>
        <w:t xml:space="preserve"> d. įvyko Komisijos posėdis, kuriame buvo nagrinėjami šie klausimai:</w:t>
      </w:r>
    </w:p>
    <w:p w:rsidR="008F6776" w:rsidRDefault="008F6776" w:rsidP="00563A96">
      <w:pPr>
        <w:spacing w:after="0" w:line="360" w:lineRule="auto"/>
        <w:ind w:firstLine="709"/>
        <w:jc w:val="both"/>
        <w:rPr>
          <w:rFonts w:ascii="Times New Roman" w:hAnsi="Times New Roman"/>
          <w:sz w:val="24"/>
          <w:szCs w:val="24"/>
        </w:rPr>
      </w:pPr>
      <w:r w:rsidRPr="00EF21D5">
        <w:rPr>
          <w:rFonts w:ascii="Times New Roman" w:hAnsi="Times New Roman"/>
          <w:sz w:val="24"/>
          <w:szCs w:val="24"/>
        </w:rPr>
        <w:t xml:space="preserve">1. </w:t>
      </w:r>
      <w:proofErr w:type="spellStart"/>
      <w:r>
        <w:rPr>
          <w:rFonts w:ascii="Times New Roman" w:hAnsi="Times New Roman"/>
          <w:sz w:val="24"/>
          <w:szCs w:val="24"/>
        </w:rPr>
        <w:t>Timofejaus</w:t>
      </w:r>
      <w:proofErr w:type="spellEnd"/>
      <w:r>
        <w:rPr>
          <w:rFonts w:ascii="Times New Roman" w:hAnsi="Times New Roman"/>
          <w:sz w:val="24"/>
          <w:szCs w:val="24"/>
        </w:rPr>
        <w:t xml:space="preserve"> </w:t>
      </w:r>
      <w:proofErr w:type="spellStart"/>
      <w:r>
        <w:rPr>
          <w:rFonts w:ascii="Times New Roman" w:hAnsi="Times New Roman"/>
          <w:sz w:val="24"/>
          <w:szCs w:val="24"/>
        </w:rPr>
        <w:t>Trimailovo</w:t>
      </w:r>
      <w:proofErr w:type="spellEnd"/>
      <w:r>
        <w:rPr>
          <w:rFonts w:ascii="Times New Roman" w:eastAsia="TimesNewRomanPSMT" w:hAnsi="Times New Roman"/>
          <w:sz w:val="24"/>
          <w:szCs w:val="24"/>
        </w:rPr>
        <w:t xml:space="preserve"> peticijos </w:t>
      </w:r>
      <w:r>
        <w:rPr>
          <w:rFonts w:ascii="Times New Roman" w:hAnsi="Times New Roman"/>
          <w:bCs/>
          <w:sz w:val="24"/>
          <w:szCs w:val="24"/>
        </w:rPr>
        <w:t>„</w:t>
      </w:r>
      <w:r w:rsidR="00A11C06">
        <w:rPr>
          <w:rFonts w:ascii="Times New Roman" w:hAnsi="Times New Roman"/>
          <w:sz w:val="24"/>
          <w:szCs w:val="24"/>
        </w:rPr>
        <w:t xml:space="preserve">Dėl nuosavybės įteisinimo pagal paveldėtojų susitarimą“ </w:t>
      </w:r>
      <w:r w:rsidR="00563A96">
        <w:rPr>
          <w:rFonts w:ascii="Times New Roman" w:hAnsi="Times New Roman"/>
          <w:sz w:val="24"/>
          <w:szCs w:val="24"/>
        </w:rPr>
        <w:t>nagrinėjimas iš esmės.</w:t>
      </w:r>
    </w:p>
    <w:p w:rsidR="00A11C06" w:rsidRDefault="00563A96" w:rsidP="00563A96">
      <w:pPr>
        <w:spacing w:after="0" w:line="360" w:lineRule="auto"/>
        <w:ind w:firstLine="709"/>
        <w:jc w:val="both"/>
        <w:rPr>
          <w:rFonts w:ascii="CG Times" w:eastAsiaTheme="minorEastAsia" w:hAnsi="CG Times"/>
        </w:rPr>
      </w:pPr>
      <w:r>
        <w:rPr>
          <w:rFonts w:ascii="Times New Roman" w:hAnsi="Times New Roman"/>
          <w:sz w:val="24"/>
          <w:szCs w:val="24"/>
        </w:rPr>
        <w:t xml:space="preserve">2. </w:t>
      </w:r>
      <w:r w:rsidR="00A11C06">
        <w:rPr>
          <w:rFonts w:ascii="Times New Roman" w:hAnsi="Times New Roman"/>
          <w:sz w:val="24"/>
          <w:szCs w:val="24"/>
        </w:rPr>
        <w:t>Rolando Čiapo</w:t>
      </w:r>
      <w:r w:rsidR="008F6776">
        <w:rPr>
          <w:rFonts w:ascii="Times New Roman" w:hAnsi="Times New Roman"/>
          <w:sz w:val="24"/>
          <w:szCs w:val="24"/>
        </w:rPr>
        <w:t xml:space="preserve"> kreipimosi </w:t>
      </w:r>
      <w:r w:rsidR="00A11C06">
        <w:rPr>
          <w:rFonts w:ascii="Times New Roman" w:hAnsi="Times New Roman"/>
          <w:sz w:val="24"/>
          <w:szCs w:val="24"/>
        </w:rPr>
        <w:t>„Dėl Lietuvos Respublikos baudžiamojo kodekso 260 straipsnio pakeitimo“ nagrinėjimas iš esmės.</w:t>
      </w:r>
    </w:p>
    <w:p w:rsidR="008F6776" w:rsidRDefault="008F6776" w:rsidP="00563A96">
      <w:pPr>
        <w:spacing w:after="0" w:line="360" w:lineRule="auto"/>
        <w:ind w:firstLine="709"/>
        <w:jc w:val="both"/>
        <w:rPr>
          <w:rFonts w:ascii="Times New Roman" w:hAnsi="Times New Roman"/>
          <w:sz w:val="24"/>
          <w:szCs w:val="24"/>
        </w:rPr>
      </w:pPr>
      <w:r>
        <w:rPr>
          <w:rFonts w:ascii="Times New Roman" w:eastAsia="TimesNewRomanPSMT" w:hAnsi="Times New Roman"/>
          <w:sz w:val="24"/>
          <w:szCs w:val="24"/>
        </w:rPr>
        <w:t xml:space="preserve">3. </w:t>
      </w:r>
      <w:r>
        <w:rPr>
          <w:rFonts w:ascii="Times New Roman" w:hAnsi="Times New Roman"/>
          <w:sz w:val="24"/>
          <w:szCs w:val="24"/>
        </w:rPr>
        <w:t xml:space="preserve">Dėl Gintauto </w:t>
      </w:r>
      <w:proofErr w:type="spellStart"/>
      <w:r>
        <w:rPr>
          <w:rFonts w:ascii="Times New Roman" w:hAnsi="Times New Roman"/>
          <w:sz w:val="24"/>
          <w:szCs w:val="24"/>
        </w:rPr>
        <w:t>Narkūno</w:t>
      </w:r>
      <w:proofErr w:type="spellEnd"/>
      <w:r>
        <w:rPr>
          <w:rFonts w:ascii="Times New Roman" w:hAnsi="Times New Roman"/>
          <w:sz w:val="24"/>
          <w:szCs w:val="24"/>
        </w:rPr>
        <w:t xml:space="preserve"> </w:t>
      </w:r>
      <w:r w:rsidR="00A11C06">
        <w:rPr>
          <w:rFonts w:ascii="Times New Roman" w:hAnsi="Times New Roman"/>
          <w:sz w:val="24"/>
          <w:szCs w:val="24"/>
        </w:rPr>
        <w:t xml:space="preserve">pakartotinio </w:t>
      </w:r>
      <w:r>
        <w:rPr>
          <w:rFonts w:ascii="Times New Roman" w:hAnsi="Times New Roman"/>
          <w:sz w:val="24"/>
          <w:szCs w:val="24"/>
        </w:rPr>
        <w:t xml:space="preserve">skundo dėl Komisijos sprendimo nepripažinti peticija jo kreipimosi </w:t>
      </w:r>
      <w:r w:rsidRPr="00225319">
        <w:rPr>
          <w:rFonts w:ascii="Times New Roman" w:hAnsi="Times New Roman"/>
          <w:sz w:val="24"/>
          <w:szCs w:val="24"/>
        </w:rPr>
        <w:t>„Dėl Lietuvos Respublikos baudžiamojo kodekso pakeitimo“</w:t>
      </w:r>
      <w:r>
        <w:rPr>
          <w:rFonts w:ascii="Times New Roman" w:hAnsi="Times New Roman"/>
          <w:sz w:val="24"/>
          <w:szCs w:val="24"/>
        </w:rPr>
        <w:t>.</w:t>
      </w:r>
    </w:p>
    <w:p w:rsidR="00284B49" w:rsidRDefault="008F6776" w:rsidP="00563A96">
      <w:pPr>
        <w:spacing w:after="0" w:line="360" w:lineRule="auto"/>
        <w:ind w:firstLine="720"/>
        <w:jc w:val="both"/>
        <w:rPr>
          <w:rFonts w:ascii="Times New Roman" w:hAnsi="Times New Roman"/>
          <w:sz w:val="24"/>
          <w:szCs w:val="24"/>
          <w:lang w:eastAsia="lt-LT"/>
        </w:rPr>
      </w:pPr>
      <w:r>
        <w:rPr>
          <w:rFonts w:ascii="Times New Roman" w:eastAsia="TimesNewRomanPSMT" w:hAnsi="Times New Roman"/>
          <w:sz w:val="24"/>
          <w:szCs w:val="24"/>
        </w:rPr>
        <w:t>Pirmuoju klausimu Komisija priėmė sprendimą atmesti</w:t>
      </w:r>
      <w:r w:rsidR="00A11C06">
        <w:rPr>
          <w:rFonts w:ascii="Times New Roman" w:eastAsia="TimesNewRomanPSMT" w:hAnsi="Times New Roman"/>
          <w:sz w:val="24"/>
          <w:szCs w:val="24"/>
        </w:rPr>
        <w:t xml:space="preserve"> </w:t>
      </w:r>
      <w:proofErr w:type="spellStart"/>
      <w:r w:rsidR="00284B49">
        <w:rPr>
          <w:rFonts w:ascii="Times New Roman" w:hAnsi="Times New Roman"/>
          <w:sz w:val="24"/>
          <w:szCs w:val="24"/>
        </w:rPr>
        <w:t>Timofejaus</w:t>
      </w:r>
      <w:proofErr w:type="spellEnd"/>
      <w:r w:rsidR="00284B49">
        <w:rPr>
          <w:rFonts w:ascii="Times New Roman" w:hAnsi="Times New Roman"/>
          <w:sz w:val="24"/>
          <w:szCs w:val="24"/>
        </w:rPr>
        <w:t xml:space="preserve"> </w:t>
      </w:r>
      <w:proofErr w:type="spellStart"/>
      <w:r w:rsidR="00284B49">
        <w:rPr>
          <w:rFonts w:ascii="Times New Roman" w:hAnsi="Times New Roman"/>
          <w:sz w:val="24"/>
          <w:szCs w:val="24"/>
        </w:rPr>
        <w:t>Trimailovo</w:t>
      </w:r>
      <w:proofErr w:type="spellEnd"/>
      <w:r w:rsidR="00284B49">
        <w:rPr>
          <w:rFonts w:ascii="Times New Roman" w:hAnsi="Times New Roman"/>
          <w:sz w:val="24"/>
          <w:szCs w:val="24"/>
        </w:rPr>
        <w:t xml:space="preserve"> peticijoje „Dėl nuosavybės įteisinimo pagal paveldėtojų susitarimą“ pateiktą pasiūlymą pakeisti Lietuvos Respublikos civilinio kodekso 5.11 straipsnį </w:t>
      </w:r>
      <w:r w:rsidR="00284B49" w:rsidRPr="00744820">
        <w:rPr>
          <w:rFonts w:ascii="Times New Roman" w:hAnsi="Times New Roman"/>
          <w:sz w:val="24"/>
          <w:szCs w:val="24"/>
          <w:lang w:eastAsia="lt-LT"/>
        </w:rPr>
        <w:t>taip</w:t>
      </w:r>
      <w:r w:rsidR="00284B49" w:rsidRPr="00DC39C7">
        <w:rPr>
          <w:rFonts w:ascii="Times New Roman" w:hAnsi="Times New Roman"/>
          <w:sz w:val="24"/>
          <w:szCs w:val="24"/>
          <w:lang w:eastAsia="lt-LT"/>
        </w:rPr>
        <w:t>,</w:t>
      </w:r>
      <w:r w:rsidR="00284B49" w:rsidRPr="00732451">
        <w:rPr>
          <w:rFonts w:ascii="Times New Roman" w:hAnsi="Times New Roman"/>
          <w:sz w:val="24"/>
          <w:szCs w:val="24"/>
          <w:lang w:eastAsia="lt-LT"/>
        </w:rPr>
        <w:t xml:space="preserve"> </w:t>
      </w:r>
      <w:r w:rsidR="00284B49" w:rsidRPr="00391FA6">
        <w:rPr>
          <w:rFonts w:ascii="Times New Roman" w:hAnsi="Times New Roman"/>
          <w:sz w:val="24"/>
          <w:szCs w:val="24"/>
          <w:lang w:eastAsia="lt-LT"/>
        </w:rPr>
        <w:t xml:space="preserve">kad įpėdiniai </w:t>
      </w:r>
      <w:r w:rsidR="00284B49">
        <w:rPr>
          <w:rFonts w:ascii="Times New Roman" w:hAnsi="Times New Roman"/>
          <w:sz w:val="24"/>
          <w:szCs w:val="24"/>
          <w:lang w:eastAsia="lt-LT"/>
        </w:rPr>
        <w:t xml:space="preserve">pagal įstatymą </w:t>
      </w:r>
      <w:r w:rsidR="00284B49" w:rsidRPr="00391FA6">
        <w:rPr>
          <w:rFonts w:ascii="Times New Roman" w:hAnsi="Times New Roman"/>
          <w:sz w:val="24"/>
          <w:szCs w:val="24"/>
          <w:lang w:eastAsia="lt-LT"/>
        </w:rPr>
        <w:t>paveldėtų pagal tarpusavio susitarimą</w:t>
      </w:r>
      <w:r w:rsidR="00563A96">
        <w:rPr>
          <w:rFonts w:ascii="Times New Roman" w:hAnsi="Times New Roman"/>
          <w:sz w:val="24"/>
          <w:szCs w:val="24"/>
          <w:lang w:eastAsia="lt-LT"/>
        </w:rPr>
        <w:t>, o ne lygiomis dalimis</w:t>
      </w:r>
      <w:r w:rsidR="00284B49">
        <w:rPr>
          <w:rFonts w:ascii="Times New Roman" w:hAnsi="Times New Roman"/>
          <w:sz w:val="24"/>
          <w:szCs w:val="24"/>
          <w:lang w:eastAsia="lt-LT"/>
        </w:rPr>
        <w:t xml:space="preserve"> ir priėmė sprendimą šį pasiūlymą atmesti.</w:t>
      </w:r>
    </w:p>
    <w:p w:rsidR="00284B49" w:rsidRDefault="00284B49" w:rsidP="007236B9">
      <w:pPr>
        <w:autoSpaceDE w:val="0"/>
        <w:autoSpaceDN w:val="0"/>
        <w:adjustRightInd w:val="0"/>
        <w:spacing w:after="0" w:line="360" w:lineRule="auto"/>
        <w:ind w:firstLine="720"/>
        <w:jc w:val="both"/>
        <w:rPr>
          <w:rFonts w:ascii="Times New Roman" w:eastAsia="Times New Roman" w:hAnsi="Times New Roman"/>
          <w:sz w:val="24"/>
          <w:szCs w:val="24"/>
          <w:lang w:eastAsia="lt-LT"/>
        </w:rPr>
      </w:pPr>
      <w:r w:rsidRPr="0035475D">
        <w:rPr>
          <w:rFonts w:ascii="Times New Roman" w:hAnsi="Times New Roman"/>
          <w:color w:val="000000"/>
          <w:sz w:val="24"/>
          <w:szCs w:val="24"/>
        </w:rPr>
        <w:t xml:space="preserve">Komisija šį sprendimą priėmė, atsižvelgusi į </w:t>
      </w:r>
      <w:r>
        <w:rPr>
          <w:rFonts w:ascii="Times New Roman" w:hAnsi="Times New Roman"/>
          <w:color w:val="000000"/>
          <w:sz w:val="24"/>
          <w:szCs w:val="24"/>
        </w:rPr>
        <w:t xml:space="preserve">Lietuvos Respublikos teisingumo ministerijos pateiktą nuomonę </w:t>
      </w:r>
      <w:r>
        <w:rPr>
          <w:rFonts w:ascii="Times New Roman" w:eastAsia="Times New Roman" w:hAnsi="Times New Roman"/>
          <w:sz w:val="24"/>
          <w:szCs w:val="24"/>
          <w:lang w:eastAsia="lt-LT"/>
        </w:rPr>
        <w:t xml:space="preserve">ir manydama, kad </w:t>
      </w:r>
      <w:r w:rsidRPr="00DC6625">
        <w:rPr>
          <w:rFonts w:ascii="Times New Roman" w:hAnsi="Times New Roman"/>
          <w:sz w:val="24"/>
          <w:szCs w:val="24"/>
        </w:rPr>
        <w:t>dabartinis Civilinio kodekso 5.11 straipsnyje nustatytas teisinis</w:t>
      </w:r>
      <w:r>
        <w:rPr>
          <w:rFonts w:ascii="Times New Roman" w:hAnsi="Times New Roman"/>
          <w:sz w:val="24"/>
          <w:szCs w:val="24"/>
        </w:rPr>
        <w:t xml:space="preserve"> </w:t>
      </w:r>
      <w:r w:rsidRPr="00DC6625">
        <w:rPr>
          <w:rFonts w:ascii="Times New Roman" w:hAnsi="Times New Roman"/>
          <w:sz w:val="24"/>
          <w:szCs w:val="24"/>
        </w:rPr>
        <w:t>reguliavimas užtikrina įpėdinių pagal įsta</w:t>
      </w:r>
      <w:r>
        <w:rPr>
          <w:rFonts w:ascii="Times New Roman" w:hAnsi="Times New Roman"/>
          <w:sz w:val="24"/>
          <w:szCs w:val="24"/>
        </w:rPr>
        <w:t>tymą lygiateisiškumo principą, kad</w:t>
      </w:r>
      <w:r w:rsidRPr="00DC6625">
        <w:rPr>
          <w:rFonts w:ascii="Times New Roman" w:hAnsi="Times New Roman"/>
          <w:sz w:val="24"/>
          <w:szCs w:val="24"/>
        </w:rPr>
        <w:t xml:space="preserve"> nustatyto teisinio</w:t>
      </w:r>
      <w:r>
        <w:rPr>
          <w:rFonts w:ascii="Times New Roman" w:hAnsi="Times New Roman"/>
          <w:sz w:val="24"/>
          <w:szCs w:val="24"/>
        </w:rPr>
        <w:t xml:space="preserve"> </w:t>
      </w:r>
      <w:r w:rsidRPr="00DC6625">
        <w:rPr>
          <w:rFonts w:ascii="Times New Roman" w:hAnsi="Times New Roman"/>
          <w:sz w:val="24"/>
          <w:szCs w:val="24"/>
        </w:rPr>
        <w:t>reguliavimo pakeitimas, numatant, kad įpėdiniai pagal įstatymą paveldi pagal tarpusavio susitarimą,</w:t>
      </w:r>
      <w:r>
        <w:rPr>
          <w:rFonts w:ascii="Times New Roman" w:hAnsi="Times New Roman"/>
          <w:sz w:val="24"/>
          <w:szCs w:val="24"/>
        </w:rPr>
        <w:t xml:space="preserve"> </w:t>
      </w:r>
      <w:r w:rsidRPr="00DC6625">
        <w:rPr>
          <w:rFonts w:ascii="Times New Roman" w:hAnsi="Times New Roman"/>
          <w:sz w:val="24"/>
          <w:szCs w:val="24"/>
        </w:rPr>
        <w:t>nepagrįstai apsunkintų paveldėjimo teisės įgyvendinimą, taip pat Civiliniame</w:t>
      </w:r>
      <w:r>
        <w:rPr>
          <w:rFonts w:ascii="Times New Roman" w:hAnsi="Times New Roman"/>
          <w:sz w:val="24"/>
          <w:szCs w:val="24"/>
        </w:rPr>
        <w:t xml:space="preserve"> </w:t>
      </w:r>
      <w:r w:rsidRPr="00DC6625">
        <w:rPr>
          <w:rFonts w:ascii="Times New Roman" w:hAnsi="Times New Roman"/>
          <w:sz w:val="24"/>
          <w:szCs w:val="24"/>
        </w:rPr>
        <w:t>kodekse yra numatytos kitos nuostatos, kurios sudar</w:t>
      </w:r>
      <w:r>
        <w:rPr>
          <w:rFonts w:ascii="Times New Roman" w:hAnsi="Times New Roman"/>
          <w:sz w:val="24"/>
          <w:szCs w:val="24"/>
        </w:rPr>
        <w:t xml:space="preserve">o galimybę atsisakyti palikimo ir </w:t>
      </w:r>
      <w:r w:rsidRPr="00DC6625">
        <w:rPr>
          <w:rFonts w:ascii="Times New Roman" w:hAnsi="Times New Roman"/>
          <w:sz w:val="24"/>
          <w:szCs w:val="24"/>
        </w:rPr>
        <w:t>savo</w:t>
      </w:r>
      <w:r>
        <w:rPr>
          <w:rFonts w:ascii="Times New Roman" w:hAnsi="Times New Roman"/>
          <w:sz w:val="24"/>
          <w:szCs w:val="24"/>
        </w:rPr>
        <w:t xml:space="preserve"> </w:t>
      </w:r>
      <w:r w:rsidRPr="00DC6625">
        <w:rPr>
          <w:rFonts w:ascii="Times New Roman" w:hAnsi="Times New Roman"/>
          <w:sz w:val="24"/>
          <w:szCs w:val="24"/>
        </w:rPr>
        <w:t xml:space="preserve">nuožiūra disponuoti paveldėtu turtu. </w:t>
      </w:r>
    </w:p>
    <w:p w:rsidR="00284B49" w:rsidRPr="007928DF" w:rsidRDefault="00284B49" w:rsidP="007236B9">
      <w:pPr>
        <w:autoSpaceDE w:val="0"/>
        <w:autoSpaceDN w:val="0"/>
        <w:adjustRightInd w:val="0"/>
        <w:spacing w:after="0" w:line="360" w:lineRule="auto"/>
        <w:ind w:firstLine="720"/>
        <w:jc w:val="both"/>
        <w:rPr>
          <w:rFonts w:ascii="Times New Roman" w:hAnsi="Times New Roman"/>
          <w:i/>
          <w:sz w:val="24"/>
          <w:szCs w:val="24"/>
        </w:rPr>
      </w:pPr>
      <w:r w:rsidRPr="00DC6625">
        <w:rPr>
          <w:rFonts w:ascii="Times New Roman" w:hAnsi="Times New Roman"/>
          <w:sz w:val="24"/>
          <w:szCs w:val="24"/>
        </w:rPr>
        <w:t>Paveldėjimo teisinius santykius</w:t>
      </w:r>
      <w:r>
        <w:rPr>
          <w:rFonts w:ascii="Times New Roman" w:hAnsi="Times New Roman"/>
          <w:sz w:val="24"/>
          <w:szCs w:val="24"/>
        </w:rPr>
        <w:t xml:space="preserve"> </w:t>
      </w:r>
      <w:r w:rsidRPr="00DC6625">
        <w:rPr>
          <w:rFonts w:ascii="Times New Roman" w:hAnsi="Times New Roman"/>
          <w:sz w:val="24"/>
          <w:szCs w:val="24"/>
        </w:rPr>
        <w:t>reglamentuoja Civilinio kodekso penktosios knygos normos. Pagal Civilinio kodekso 5.11</w:t>
      </w:r>
      <w:r>
        <w:rPr>
          <w:rFonts w:ascii="Times New Roman" w:hAnsi="Times New Roman"/>
          <w:sz w:val="24"/>
          <w:szCs w:val="24"/>
        </w:rPr>
        <w:t xml:space="preserve"> </w:t>
      </w:r>
      <w:r w:rsidRPr="00DC6625">
        <w:rPr>
          <w:rFonts w:ascii="Times New Roman" w:hAnsi="Times New Roman"/>
          <w:sz w:val="24"/>
          <w:szCs w:val="24"/>
        </w:rPr>
        <w:t>straipsnio 1 dalies nuostatas paveldint pagal įstatymą kiekvienos iš nurodytų eilių įpėdiniai paveldi</w:t>
      </w:r>
      <w:r>
        <w:rPr>
          <w:rFonts w:ascii="Times New Roman" w:hAnsi="Times New Roman"/>
          <w:sz w:val="24"/>
          <w:szCs w:val="24"/>
        </w:rPr>
        <w:t xml:space="preserve"> </w:t>
      </w:r>
      <w:r w:rsidRPr="00DC6625">
        <w:rPr>
          <w:rFonts w:ascii="Times New Roman" w:hAnsi="Times New Roman"/>
          <w:sz w:val="24"/>
          <w:szCs w:val="24"/>
        </w:rPr>
        <w:t xml:space="preserve">lygiomis dalimis. </w:t>
      </w:r>
      <w:r>
        <w:rPr>
          <w:rFonts w:ascii="Times New Roman" w:hAnsi="Times New Roman"/>
          <w:sz w:val="24"/>
          <w:szCs w:val="24"/>
        </w:rPr>
        <w:t>T</w:t>
      </w:r>
      <w:r w:rsidRPr="00DC6625">
        <w:rPr>
          <w:rFonts w:ascii="Times New Roman" w:hAnsi="Times New Roman"/>
          <w:sz w:val="24"/>
          <w:szCs w:val="24"/>
        </w:rPr>
        <w:t>okiu teisiniu reguliavimu yra užtikrinamas asmenų</w:t>
      </w:r>
      <w:r>
        <w:rPr>
          <w:rFonts w:ascii="Times New Roman" w:hAnsi="Times New Roman"/>
          <w:sz w:val="24"/>
          <w:szCs w:val="24"/>
        </w:rPr>
        <w:t xml:space="preserve"> </w:t>
      </w:r>
      <w:r w:rsidRPr="00DC6625">
        <w:rPr>
          <w:rFonts w:ascii="Times New Roman" w:hAnsi="Times New Roman"/>
          <w:sz w:val="24"/>
          <w:szCs w:val="24"/>
        </w:rPr>
        <w:t>lygiateisiškumo principo įgyvendinimas, užtikrinamas teisinio reguliavimo aiškumas, taip pat</w:t>
      </w:r>
      <w:r>
        <w:rPr>
          <w:rFonts w:ascii="Times New Roman" w:hAnsi="Times New Roman"/>
          <w:sz w:val="24"/>
          <w:szCs w:val="24"/>
        </w:rPr>
        <w:t xml:space="preserve"> </w:t>
      </w:r>
      <w:r w:rsidRPr="00DC6625">
        <w:rPr>
          <w:rFonts w:ascii="Times New Roman" w:hAnsi="Times New Roman"/>
          <w:sz w:val="24"/>
          <w:szCs w:val="24"/>
        </w:rPr>
        <w:t xml:space="preserve">užkertamas kelias ginčų tarp įpėdinių atsiradimui. </w:t>
      </w:r>
      <w:r w:rsidRPr="007928DF">
        <w:rPr>
          <w:rFonts w:ascii="Times New Roman" w:hAnsi="Times New Roman"/>
          <w:i/>
          <w:sz w:val="24"/>
          <w:szCs w:val="24"/>
        </w:rPr>
        <w:t>Jei teisės aktuose būtų nustatyta, kad įpėdiniai pagal įstatymą paveldi pagal tarpusavio susitarimą, tikėtina, kad tai sudarytų prielaidas ginčams tarp įpėdinių pagal įstatymą, taip pat sudarytų prielaidas teismų darbo krūvio padidėjimui. Jei įpėdin</w:t>
      </w:r>
      <w:r>
        <w:rPr>
          <w:rFonts w:ascii="Times New Roman" w:hAnsi="Times New Roman"/>
          <w:i/>
          <w:sz w:val="24"/>
          <w:szCs w:val="24"/>
        </w:rPr>
        <w:t>i</w:t>
      </w:r>
      <w:r w:rsidRPr="007928DF">
        <w:rPr>
          <w:rFonts w:ascii="Times New Roman" w:hAnsi="Times New Roman"/>
          <w:i/>
          <w:sz w:val="24"/>
          <w:szCs w:val="24"/>
        </w:rPr>
        <w:t xml:space="preserve">ai susitarimo nepasiektų, vyktų teisminiai ginčai ir </w:t>
      </w:r>
      <w:r>
        <w:rPr>
          <w:rFonts w:ascii="Times New Roman" w:hAnsi="Times New Roman"/>
          <w:i/>
          <w:sz w:val="24"/>
          <w:szCs w:val="24"/>
        </w:rPr>
        <w:t>įpėdiniai pagal įstatymą nepagrįs</w:t>
      </w:r>
      <w:r w:rsidRPr="007928DF">
        <w:rPr>
          <w:rFonts w:ascii="Times New Roman" w:hAnsi="Times New Roman"/>
          <w:i/>
          <w:sz w:val="24"/>
          <w:szCs w:val="24"/>
        </w:rPr>
        <w:t xml:space="preserve">tai ilgą laiką negalėtų įgyvendinti savo paveldėjimo teisės. </w:t>
      </w:r>
    </w:p>
    <w:p w:rsidR="00284B49" w:rsidRPr="00DC6625" w:rsidRDefault="00284B49" w:rsidP="007236B9">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J</w:t>
      </w:r>
      <w:r w:rsidRPr="00DC6625">
        <w:rPr>
          <w:rFonts w:ascii="Times New Roman" w:hAnsi="Times New Roman"/>
          <w:sz w:val="24"/>
          <w:szCs w:val="24"/>
        </w:rPr>
        <w:t>ei įpėdinis nori atsisakyti palikimo, taip pat jei nori perleisti</w:t>
      </w:r>
      <w:r>
        <w:rPr>
          <w:rFonts w:ascii="Times New Roman" w:hAnsi="Times New Roman"/>
          <w:sz w:val="24"/>
          <w:szCs w:val="24"/>
        </w:rPr>
        <w:t xml:space="preserve"> </w:t>
      </w:r>
      <w:r w:rsidRPr="00DC6625">
        <w:rPr>
          <w:rFonts w:ascii="Times New Roman" w:hAnsi="Times New Roman"/>
          <w:sz w:val="24"/>
          <w:szCs w:val="24"/>
        </w:rPr>
        <w:t>paveldėtą turtą kitam įpėdiniui pagal įstatymą, Civilinio kodekso nuostatos sudaro galimybę atlikti</w:t>
      </w:r>
      <w:r>
        <w:rPr>
          <w:rFonts w:ascii="Times New Roman" w:hAnsi="Times New Roman"/>
          <w:sz w:val="24"/>
          <w:szCs w:val="24"/>
        </w:rPr>
        <w:t xml:space="preserve"> </w:t>
      </w:r>
      <w:r w:rsidRPr="00DC6625">
        <w:rPr>
          <w:rFonts w:ascii="Times New Roman" w:hAnsi="Times New Roman"/>
          <w:sz w:val="24"/>
          <w:szCs w:val="24"/>
        </w:rPr>
        <w:t>šiuos teisinius veiksmus. Civilinio kodekso 5.60 straipsnio 1 dalyje nustatyta, kad įpėdinis pagal</w:t>
      </w:r>
      <w:r>
        <w:rPr>
          <w:rFonts w:ascii="Times New Roman" w:hAnsi="Times New Roman"/>
          <w:sz w:val="24"/>
          <w:szCs w:val="24"/>
        </w:rPr>
        <w:t xml:space="preserve"> </w:t>
      </w:r>
      <w:r w:rsidRPr="00DC6625">
        <w:rPr>
          <w:rFonts w:ascii="Times New Roman" w:hAnsi="Times New Roman"/>
          <w:sz w:val="24"/>
          <w:szCs w:val="24"/>
        </w:rPr>
        <w:t xml:space="preserve">įstatymą ar </w:t>
      </w:r>
      <w:r w:rsidRPr="00DC6625">
        <w:rPr>
          <w:rFonts w:ascii="Times New Roman" w:hAnsi="Times New Roman"/>
          <w:sz w:val="24"/>
          <w:szCs w:val="24"/>
        </w:rPr>
        <w:lastRenderedPageBreak/>
        <w:t>įpėdinis pagal testamentą turi teisę per tris mėnesius nuo palikimo atsiradimo dienos</w:t>
      </w:r>
      <w:r>
        <w:rPr>
          <w:rFonts w:ascii="Times New Roman" w:hAnsi="Times New Roman"/>
          <w:sz w:val="24"/>
          <w:szCs w:val="24"/>
        </w:rPr>
        <w:t xml:space="preserve"> </w:t>
      </w:r>
      <w:r w:rsidRPr="00DC6625">
        <w:rPr>
          <w:rFonts w:ascii="Times New Roman" w:hAnsi="Times New Roman"/>
          <w:sz w:val="24"/>
          <w:szCs w:val="24"/>
        </w:rPr>
        <w:t>atsisakyti palikimo, tačiau neleidžiama atsisakyti su sąlygomis ir</w:t>
      </w:r>
      <w:r>
        <w:rPr>
          <w:rFonts w:ascii="Times New Roman" w:hAnsi="Times New Roman"/>
          <w:sz w:val="24"/>
          <w:szCs w:val="24"/>
        </w:rPr>
        <w:t xml:space="preserve"> išlygomis arba dalies palikimo. Į</w:t>
      </w:r>
      <w:r w:rsidRPr="00DC6625">
        <w:rPr>
          <w:rFonts w:ascii="Times New Roman" w:hAnsi="Times New Roman"/>
          <w:sz w:val="24"/>
          <w:szCs w:val="24"/>
        </w:rPr>
        <w:t>pėdiniui teisės aktų nustatyta tvarka</w:t>
      </w:r>
      <w:r>
        <w:rPr>
          <w:rFonts w:ascii="Times New Roman" w:hAnsi="Times New Roman"/>
          <w:sz w:val="24"/>
          <w:szCs w:val="24"/>
        </w:rPr>
        <w:t xml:space="preserve"> priėmus palikimą, įpėdinis gali</w:t>
      </w:r>
      <w:r w:rsidRPr="00DC6625">
        <w:rPr>
          <w:rFonts w:ascii="Times New Roman" w:hAnsi="Times New Roman"/>
          <w:sz w:val="24"/>
          <w:szCs w:val="24"/>
        </w:rPr>
        <w:t xml:space="preserve"> disponuoti palikimu savo</w:t>
      </w:r>
      <w:r>
        <w:rPr>
          <w:rFonts w:ascii="Times New Roman" w:hAnsi="Times New Roman"/>
          <w:sz w:val="24"/>
          <w:szCs w:val="24"/>
        </w:rPr>
        <w:t xml:space="preserve"> nuožiūra: </w:t>
      </w:r>
      <w:r w:rsidRPr="00DC6625">
        <w:rPr>
          <w:rFonts w:ascii="Times New Roman" w:hAnsi="Times New Roman"/>
          <w:sz w:val="24"/>
          <w:szCs w:val="24"/>
        </w:rPr>
        <w:t>dovanoti priimtą palikimą kitiems įpėdiniams, sudaryti dėl paveldėto turto</w:t>
      </w:r>
      <w:r>
        <w:rPr>
          <w:rFonts w:ascii="Times New Roman" w:hAnsi="Times New Roman"/>
          <w:sz w:val="24"/>
          <w:szCs w:val="24"/>
        </w:rPr>
        <w:t xml:space="preserve"> </w:t>
      </w:r>
      <w:r w:rsidRPr="00DC6625">
        <w:rPr>
          <w:rFonts w:ascii="Times New Roman" w:hAnsi="Times New Roman"/>
          <w:sz w:val="24"/>
          <w:szCs w:val="24"/>
        </w:rPr>
        <w:t>kitus įstatymams neprieštaraujančius sandorius.</w:t>
      </w:r>
    </w:p>
    <w:p w:rsidR="00284B49" w:rsidRPr="007928DF" w:rsidRDefault="00284B49" w:rsidP="007236B9">
      <w:pPr>
        <w:autoSpaceDE w:val="0"/>
        <w:autoSpaceDN w:val="0"/>
        <w:adjustRightInd w:val="0"/>
        <w:spacing w:after="0" w:line="360" w:lineRule="auto"/>
        <w:ind w:firstLine="709"/>
        <w:jc w:val="both"/>
        <w:rPr>
          <w:rFonts w:ascii="Times New Roman" w:hAnsi="Times New Roman"/>
          <w:i/>
          <w:sz w:val="24"/>
          <w:szCs w:val="24"/>
        </w:rPr>
      </w:pPr>
      <w:r w:rsidRPr="00DC6625">
        <w:rPr>
          <w:rFonts w:ascii="Times New Roman" w:hAnsi="Times New Roman"/>
          <w:sz w:val="24"/>
          <w:szCs w:val="24"/>
        </w:rPr>
        <w:t>Atkreiptinas dėmesys, kad Lietuvos Respublikos civilinio kodekso patvirtinimo,</w:t>
      </w:r>
      <w:r>
        <w:rPr>
          <w:rFonts w:ascii="Times New Roman" w:hAnsi="Times New Roman"/>
          <w:sz w:val="24"/>
          <w:szCs w:val="24"/>
        </w:rPr>
        <w:t xml:space="preserve"> </w:t>
      </w:r>
      <w:r w:rsidRPr="00DC6625">
        <w:rPr>
          <w:rFonts w:ascii="Times New Roman" w:hAnsi="Times New Roman"/>
          <w:sz w:val="24"/>
          <w:szCs w:val="24"/>
        </w:rPr>
        <w:t>įsigaliojimo, ir įgyvendinimo įstatymo 38 straipsnio 1 dalyje nustatyta, kad Civilinio kodekso</w:t>
      </w:r>
      <w:r>
        <w:rPr>
          <w:rFonts w:ascii="Times New Roman" w:hAnsi="Times New Roman"/>
          <w:sz w:val="24"/>
          <w:szCs w:val="24"/>
        </w:rPr>
        <w:t xml:space="preserve"> </w:t>
      </w:r>
      <w:r w:rsidRPr="00DC6625">
        <w:rPr>
          <w:rFonts w:ascii="Times New Roman" w:hAnsi="Times New Roman"/>
          <w:sz w:val="24"/>
          <w:szCs w:val="24"/>
        </w:rPr>
        <w:t>penktosios knygos normos taikomos paveldėjimo santykiams, kai palikimas atsiranda įsigaliojus</w:t>
      </w:r>
      <w:r>
        <w:rPr>
          <w:rFonts w:ascii="Times New Roman" w:hAnsi="Times New Roman"/>
          <w:sz w:val="24"/>
          <w:szCs w:val="24"/>
        </w:rPr>
        <w:t xml:space="preserve"> </w:t>
      </w:r>
      <w:r w:rsidRPr="00DC6625">
        <w:rPr>
          <w:rFonts w:ascii="Times New Roman" w:hAnsi="Times New Roman"/>
          <w:sz w:val="24"/>
          <w:szCs w:val="24"/>
        </w:rPr>
        <w:t xml:space="preserve">šiam kodeksui. Pagal pareiškėjo </w:t>
      </w:r>
      <w:r>
        <w:rPr>
          <w:rFonts w:ascii="Times New Roman" w:hAnsi="Times New Roman"/>
          <w:sz w:val="24"/>
          <w:szCs w:val="24"/>
        </w:rPr>
        <w:t>peticijoje nurodytus duomenis</w:t>
      </w:r>
      <w:r w:rsidRPr="00DC6625">
        <w:rPr>
          <w:rFonts w:ascii="Times New Roman" w:hAnsi="Times New Roman"/>
          <w:sz w:val="24"/>
          <w:szCs w:val="24"/>
        </w:rPr>
        <w:t xml:space="preserve"> pareiškėjo tėvas mirė 1992 m.,</w:t>
      </w:r>
      <w:r>
        <w:rPr>
          <w:rFonts w:ascii="Times New Roman" w:hAnsi="Times New Roman"/>
          <w:sz w:val="24"/>
          <w:szCs w:val="24"/>
        </w:rPr>
        <w:t xml:space="preserve"> </w:t>
      </w:r>
      <w:r w:rsidRPr="00DC6625">
        <w:rPr>
          <w:rFonts w:ascii="Times New Roman" w:hAnsi="Times New Roman"/>
          <w:sz w:val="24"/>
          <w:szCs w:val="24"/>
        </w:rPr>
        <w:t>todėl laikytina,</w:t>
      </w:r>
      <w:r>
        <w:rPr>
          <w:rFonts w:ascii="Times New Roman" w:hAnsi="Times New Roman"/>
          <w:sz w:val="24"/>
          <w:szCs w:val="24"/>
        </w:rPr>
        <w:t xml:space="preserve"> kad palikimas atsirado 1992 m. Taigi</w:t>
      </w:r>
      <w:r w:rsidRPr="00DC6625">
        <w:rPr>
          <w:rFonts w:ascii="Times New Roman" w:hAnsi="Times New Roman"/>
          <w:sz w:val="24"/>
          <w:szCs w:val="24"/>
        </w:rPr>
        <w:t xml:space="preserve"> nurodytiems paveldėjimo santykiams</w:t>
      </w:r>
      <w:r>
        <w:rPr>
          <w:rFonts w:ascii="Times New Roman" w:hAnsi="Times New Roman"/>
          <w:sz w:val="24"/>
          <w:szCs w:val="24"/>
        </w:rPr>
        <w:t xml:space="preserve"> </w:t>
      </w:r>
      <w:r w:rsidRPr="00DC6625">
        <w:rPr>
          <w:rFonts w:ascii="Times New Roman" w:hAnsi="Times New Roman"/>
          <w:sz w:val="24"/>
          <w:szCs w:val="24"/>
        </w:rPr>
        <w:t>taikytinos 1964 m. Lietuvos Respublikos civilinio kodekso, kuris neteko galios 2001 m. liepos 1 d.,</w:t>
      </w:r>
      <w:r>
        <w:rPr>
          <w:rFonts w:ascii="Times New Roman" w:hAnsi="Times New Roman"/>
          <w:sz w:val="24"/>
          <w:szCs w:val="24"/>
        </w:rPr>
        <w:t xml:space="preserve"> </w:t>
      </w:r>
      <w:r w:rsidRPr="00DC6625">
        <w:rPr>
          <w:rFonts w:ascii="Times New Roman" w:hAnsi="Times New Roman"/>
          <w:sz w:val="24"/>
          <w:szCs w:val="24"/>
        </w:rPr>
        <w:t xml:space="preserve">nuostatos, o ne šiuo metu galiojančio Civilinio kodekso nuostatos. Pažymėtina, kad, vadovaujantis </w:t>
      </w:r>
      <w:r>
        <w:rPr>
          <w:rFonts w:ascii="Times New Roman" w:hAnsi="Times New Roman"/>
          <w:sz w:val="24"/>
          <w:szCs w:val="24"/>
        </w:rPr>
        <w:t>1964 m. Civilinio kodekso 573 straipsnio 1</w:t>
      </w:r>
      <w:r w:rsidRPr="00DC6625">
        <w:rPr>
          <w:rFonts w:ascii="Times New Roman" w:hAnsi="Times New Roman"/>
          <w:sz w:val="24"/>
          <w:szCs w:val="24"/>
        </w:rPr>
        <w:t xml:space="preserve"> dalies nuostatomis, paveldint pagal įstatymą kiekvienos</w:t>
      </w:r>
      <w:r>
        <w:rPr>
          <w:rFonts w:ascii="Times New Roman" w:hAnsi="Times New Roman"/>
          <w:sz w:val="24"/>
          <w:szCs w:val="24"/>
        </w:rPr>
        <w:t xml:space="preserve"> iš nurodytų eilių į</w:t>
      </w:r>
      <w:r w:rsidRPr="00DC6625">
        <w:rPr>
          <w:rFonts w:ascii="Times New Roman" w:hAnsi="Times New Roman"/>
          <w:sz w:val="24"/>
          <w:szCs w:val="24"/>
        </w:rPr>
        <w:t xml:space="preserve">pėdiniai taip pat paveldi lygiomis dalimis. </w:t>
      </w:r>
      <w:r>
        <w:rPr>
          <w:rFonts w:ascii="Times New Roman" w:hAnsi="Times New Roman"/>
          <w:i/>
          <w:sz w:val="24"/>
          <w:szCs w:val="24"/>
        </w:rPr>
        <w:t>Taigi</w:t>
      </w:r>
      <w:r w:rsidRPr="007928DF">
        <w:rPr>
          <w:rFonts w:ascii="Times New Roman" w:hAnsi="Times New Roman"/>
          <w:i/>
          <w:sz w:val="24"/>
          <w:szCs w:val="24"/>
        </w:rPr>
        <w:t xml:space="preserve"> ir pagal 1964 m. Civilinio kodekso nuostatas įpėdiniai pagal įstat</w:t>
      </w:r>
      <w:r>
        <w:rPr>
          <w:rFonts w:ascii="Times New Roman" w:hAnsi="Times New Roman"/>
          <w:i/>
          <w:sz w:val="24"/>
          <w:szCs w:val="24"/>
        </w:rPr>
        <w:t xml:space="preserve">ymą paveldi lygiomis dalimis. </w:t>
      </w:r>
      <w:r w:rsidRPr="007928DF">
        <w:rPr>
          <w:rFonts w:ascii="Times New Roman" w:hAnsi="Times New Roman"/>
          <w:i/>
          <w:sz w:val="24"/>
          <w:szCs w:val="24"/>
        </w:rPr>
        <w:t>2001 m. liepos 1 d. įsigaliojus naujajam Civiliniam kodeksui, teisės aktų nuostatos dėl įpėdinių pagal įstatymą pavedėjimo lygiomis dalimis išliko nepasikeitusios.</w:t>
      </w:r>
    </w:p>
    <w:p w:rsidR="00284B49" w:rsidRPr="00DC6625" w:rsidRDefault="00284B49" w:rsidP="007236B9">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P</w:t>
      </w:r>
      <w:r w:rsidRPr="00DC6625">
        <w:rPr>
          <w:rFonts w:ascii="Times New Roman" w:hAnsi="Times New Roman"/>
          <w:sz w:val="24"/>
          <w:szCs w:val="24"/>
        </w:rPr>
        <w:t xml:space="preserve">astebėtina, kad pagal pareiškėjo </w:t>
      </w:r>
      <w:r>
        <w:rPr>
          <w:rFonts w:ascii="Times New Roman" w:hAnsi="Times New Roman"/>
          <w:sz w:val="24"/>
          <w:szCs w:val="24"/>
        </w:rPr>
        <w:t>peticijoje</w:t>
      </w:r>
      <w:r w:rsidRPr="00DC6625">
        <w:rPr>
          <w:rFonts w:ascii="Times New Roman" w:hAnsi="Times New Roman"/>
          <w:sz w:val="24"/>
          <w:szCs w:val="24"/>
        </w:rPr>
        <w:t xml:space="preserve"> nurodytus duomenis nėra</w:t>
      </w:r>
      <w:r>
        <w:rPr>
          <w:rFonts w:ascii="Times New Roman" w:hAnsi="Times New Roman"/>
          <w:sz w:val="24"/>
          <w:szCs w:val="24"/>
        </w:rPr>
        <w:t xml:space="preserve"> </w:t>
      </w:r>
      <w:r w:rsidRPr="00DC6625">
        <w:rPr>
          <w:rFonts w:ascii="Times New Roman" w:hAnsi="Times New Roman"/>
          <w:sz w:val="24"/>
          <w:szCs w:val="24"/>
        </w:rPr>
        <w:t>visiškai aišku, kokie teisiniai santykiai susi</w:t>
      </w:r>
      <w:r>
        <w:rPr>
          <w:rFonts w:ascii="Times New Roman" w:hAnsi="Times New Roman"/>
          <w:sz w:val="24"/>
          <w:szCs w:val="24"/>
        </w:rPr>
        <w:t>klostė dėl mirusio asmens turto:</w:t>
      </w:r>
      <w:r w:rsidRPr="00DC6625">
        <w:rPr>
          <w:rFonts w:ascii="Times New Roman" w:hAnsi="Times New Roman"/>
          <w:sz w:val="24"/>
          <w:szCs w:val="24"/>
        </w:rPr>
        <w:t xml:space="preserve"> ar paveldėjimo teisiniai</w:t>
      </w:r>
      <w:r>
        <w:rPr>
          <w:rFonts w:ascii="Times New Roman" w:hAnsi="Times New Roman"/>
          <w:sz w:val="24"/>
          <w:szCs w:val="24"/>
        </w:rPr>
        <w:t xml:space="preserve"> </w:t>
      </w:r>
      <w:r w:rsidRPr="00DC6625">
        <w:rPr>
          <w:rFonts w:ascii="Times New Roman" w:hAnsi="Times New Roman"/>
          <w:sz w:val="24"/>
          <w:szCs w:val="24"/>
        </w:rPr>
        <w:t>santykiai, ar nuosavybės teisių atkūrimo į išlikusį nekilnojamąjį turtą teisiniai santykiai. Pagal prie</w:t>
      </w:r>
      <w:r>
        <w:rPr>
          <w:rFonts w:ascii="Times New Roman" w:hAnsi="Times New Roman"/>
          <w:sz w:val="24"/>
          <w:szCs w:val="24"/>
        </w:rPr>
        <w:t xml:space="preserve"> </w:t>
      </w:r>
      <w:r w:rsidRPr="00DC6625">
        <w:rPr>
          <w:rFonts w:ascii="Times New Roman" w:hAnsi="Times New Roman"/>
          <w:sz w:val="24"/>
          <w:szCs w:val="24"/>
        </w:rPr>
        <w:t xml:space="preserve">pareiškėjo </w:t>
      </w:r>
      <w:r>
        <w:rPr>
          <w:rFonts w:ascii="Times New Roman" w:hAnsi="Times New Roman"/>
          <w:sz w:val="24"/>
          <w:szCs w:val="24"/>
        </w:rPr>
        <w:t>peticijos</w:t>
      </w:r>
      <w:r w:rsidRPr="00DC6625">
        <w:rPr>
          <w:rFonts w:ascii="Times New Roman" w:hAnsi="Times New Roman"/>
          <w:sz w:val="24"/>
          <w:szCs w:val="24"/>
        </w:rPr>
        <w:t xml:space="preserve"> pridėtą 2001 m. kovo 22 d. sudarytą sutarimą galima daryti prielaidą, kad</w:t>
      </w:r>
      <w:r>
        <w:rPr>
          <w:rFonts w:ascii="Times New Roman" w:hAnsi="Times New Roman"/>
          <w:sz w:val="24"/>
          <w:szCs w:val="24"/>
        </w:rPr>
        <w:t xml:space="preserve"> </w:t>
      </w:r>
      <w:r w:rsidRPr="00DC6625">
        <w:rPr>
          <w:rFonts w:ascii="Times New Roman" w:hAnsi="Times New Roman"/>
          <w:sz w:val="24"/>
          <w:szCs w:val="24"/>
        </w:rPr>
        <w:t xml:space="preserve">pareiškėjo </w:t>
      </w:r>
      <w:r>
        <w:rPr>
          <w:rFonts w:ascii="Times New Roman" w:hAnsi="Times New Roman"/>
          <w:sz w:val="24"/>
          <w:szCs w:val="24"/>
        </w:rPr>
        <w:t>peticijoje</w:t>
      </w:r>
      <w:r w:rsidRPr="00DC6625">
        <w:rPr>
          <w:rFonts w:ascii="Times New Roman" w:hAnsi="Times New Roman"/>
          <w:sz w:val="24"/>
          <w:szCs w:val="24"/>
        </w:rPr>
        <w:t xml:space="preserve"> nurodytu atveju yra susiklostę nuosavybės teisių atkūrimo į išlikusį</w:t>
      </w:r>
      <w:r>
        <w:rPr>
          <w:rFonts w:ascii="Times New Roman" w:hAnsi="Times New Roman"/>
          <w:sz w:val="24"/>
          <w:szCs w:val="24"/>
        </w:rPr>
        <w:t xml:space="preserve"> </w:t>
      </w:r>
      <w:r w:rsidRPr="00DC6625">
        <w:rPr>
          <w:rFonts w:ascii="Times New Roman" w:hAnsi="Times New Roman"/>
          <w:sz w:val="24"/>
          <w:szCs w:val="24"/>
        </w:rPr>
        <w:t>nekilnojamąjį turtą santykiai.</w:t>
      </w:r>
    </w:p>
    <w:p w:rsidR="00284B49" w:rsidRPr="007928DF" w:rsidRDefault="00284B49" w:rsidP="007236B9">
      <w:pPr>
        <w:autoSpaceDE w:val="0"/>
        <w:autoSpaceDN w:val="0"/>
        <w:adjustRightInd w:val="0"/>
        <w:spacing w:after="0" w:line="360" w:lineRule="auto"/>
        <w:ind w:firstLine="709"/>
        <w:jc w:val="both"/>
        <w:rPr>
          <w:rFonts w:ascii="Times New Roman" w:hAnsi="Times New Roman"/>
          <w:i/>
          <w:sz w:val="24"/>
          <w:szCs w:val="24"/>
        </w:rPr>
      </w:pPr>
      <w:r w:rsidRPr="00DC6625">
        <w:rPr>
          <w:rFonts w:ascii="Times New Roman" w:hAnsi="Times New Roman"/>
          <w:sz w:val="24"/>
          <w:szCs w:val="24"/>
        </w:rPr>
        <w:t>Pastebėtina, kad šiuo metu galiojančio Lietuvos Respublikos piliečių nuosavybės</w:t>
      </w:r>
      <w:r>
        <w:rPr>
          <w:rFonts w:ascii="Times New Roman" w:hAnsi="Times New Roman"/>
          <w:sz w:val="24"/>
          <w:szCs w:val="24"/>
        </w:rPr>
        <w:t xml:space="preserve"> </w:t>
      </w:r>
      <w:r w:rsidRPr="00DC6625">
        <w:rPr>
          <w:rFonts w:ascii="Times New Roman" w:hAnsi="Times New Roman"/>
          <w:sz w:val="24"/>
          <w:szCs w:val="24"/>
        </w:rPr>
        <w:t xml:space="preserve">teisių į išlikusį nekilnojamąjį turtą atkūrimo įstatymo (toliau </w:t>
      </w:r>
      <w:r>
        <w:rPr>
          <w:rFonts w:ascii="Times New Roman" w:hAnsi="Times New Roman"/>
          <w:sz w:val="24"/>
          <w:szCs w:val="24"/>
        </w:rPr>
        <w:t>–</w:t>
      </w:r>
      <w:r w:rsidRPr="00DC6625">
        <w:rPr>
          <w:rFonts w:ascii="Times New Roman" w:hAnsi="Times New Roman"/>
          <w:sz w:val="24"/>
          <w:szCs w:val="24"/>
        </w:rPr>
        <w:t xml:space="preserve"> Įstatymas) 4 straipsnio 2 dalyje</w:t>
      </w:r>
      <w:r>
        <w:rPr>
          <w:rFonts w:ascii="Times New Roman" w:hAnsi="Times New Roman"/>
          <w:sz w:val="24"/>
          <w:szCs w:val="24"/>
        </w:rPr>
        <w:t xml:space="preserve"> </w:t>
      </w:r>
      <w:r w:rsidRPr="00DC6625">
        <w:rPr>
          <w:rFonts w:ascii="Times New Roman" w:hAnsi="Times New Roman"/>
          <w:sz w:val="24"/>
          <w:szCs w:val="24"/>
        </w:rPr>
        <w:t>nustatyta, kad žemė grąžinama natūra turėtoje vietoje piliečiui arba piliečiams bendrosios</w:t>
      </w:r>
      <w:r>
        <w:rPr>
          <w:rFonts w:ascii="Times New Roman" w:hAnsi="Times New Roman"/>
          <w:sz w:val="24"/>
          <w:szCs w:val="24"/>
        </w:rPr>
        <w:t xml:space="preserve"> </w:t>
      </w:r>
      <w:r w:rsidRPr="00DC6625">
        <w:rPr>
          <w:rFonts w:ascii="Times New Roman" w:hAnsi="Times New Roman"/>
          <w:sz w:val="24"/>
          <w:szCs w:val="24"/>
        </w:rPr>
        <w:t>nuosavybės teise, išskyrus žemę, pagal šio įstatymo 12 straipsnį priskirtą valstybės išperkamai</w:t>
      </w:r>
      <w:r>
        <w:rPr>
          <w:rFonts w:ascii="Times New Roman" w:hAnsi="Times New Roman"/>
          <w:sz w:val="24"/>
          <w:szCs w:val="24"/>
        </w:rPr>
        <w:t xml:space="preserve"> </w:t>
      </w:r>
      <w:r w:rsidRPr="00DC6625">
        <w:rPr>
          <w:rFonts w:ascii="Times New Roman" w:hAnsi="Times New Roman"/>
          <w:sz w:val="24"/>
          <w:szCs w:val="24"/>
        </w:rPr>
        <w:t>žemei, ir žemę, kurios šio straipsnio 10 dalyje nurodytu atveju susigrąžinti turėtoje vietoje piliečiai</w:t>
      </w:r>
      <w:r>
        <w:rPr>
          <w:rFonts w:ascii="Times New Roman" w:hAnsi="Times New Roman"/>
          <w:sz w:val="24"/>
          <w:szCs w:val="24"/>
        </w:rPr>
        <w:t xml:space="preserve"> </w:t>
      </w:r>
      <w:r w:rsidRPr="00DC6625">
        <w:rPr>
          <w:rFonts w:ascii="Times New Roman" w:hAnsi="Times New Roman"/>
          <w:sz w:val="24"/>
          <w:szCs w:val="24"/>
        </w:rPr>
        <w:t xml:space="preserve">nepageidauja. </w:t>
      </w:r>
      <w:r w:rsidRPr="007928DF">
        <w:rPr>
          <w:rFonts w:ascii="Times New Roman" w:hAnsi="Times New Roman"/>
          <w:i/>
          <w:sz w:val="24"/>
          <w:szCs w:val="24"/>
        </w:rPr>
        <w:t>Žemės bendraturčių susitarimu žemė natūra gali būti grąžinama atskirais sklypais. Žemės sklypų, įgytų bendrosios nuosavybės teise, padalijimo projektai rengiami šios žemės savininkų lėšomis pagal vienodo dydžio Vyriausybės nustatytus darbų įkainius.</w:t>
      </w:r>
    </w:p>
    <w:p w:rsidR="00284B49" w:rsidRPr="00DC6625" w:rsidRDefault="00284B49" w:rsidP="007236B9">
      <w:pPr>
        <w:autoSpaceDE w:val="0"/>
        <w:autoSpaceDN w:val="0"/>
        <w:adjustRightInd w:val="0"/>
        <w:spacing w:after="0" w:line="360" w:lineRule="auto"/>
        <w:ind w:firstLine="709"/>
        <w:jc w:val="both"/>
        <w:rPr>
          <w:rFonts w:ascii="Times New Roman" w:hAnsi="Times New Roman"/>
          <w:sz w:val="24"/>
          <w:szCs w:val="24"/>
        </w:rPr>
      </w:pPr>
      <w:r w:rsidRPr="00DC6625">
        <w:rPr>
          <w:rFonts w:ascii="Times New Roman" w:hAnsi="Times New Roman"/>
          <w:sz w:val="24"/>
          <w:szCs w:val="24"/>
        </w:rPr>
        <w:lastRenderedPageBreak/>
        <w:t>Atkreiptinas</w:t>
      </w:r>
      <w:r>
        <w:rPr>
          <w:rFonts w:ascii="Times New Roman" w:hAnsi="Times New Roman"/>
          <w:sz w:val="24"/>
          <w:szCs w:val="24"/>
        </w:rPr>
        <w:t xml:space="preserve"> </w:t>
      </w:r>
      <w:r w:rsidRPr="00DC6625">
        <w:rPr>
          <w:rFonts w:ascii="Times New Roman" w:hAnsi="Times New Roman"/>
          <w:sz w:val="24"/>
          <w:szCs w:val="24"/>
        </w:rPr>
        <w:t>dėmesys, kad 2001 m. kovo 22 d. galiojusios Įstatymo redakcijos (t. y. galiojusios prie pareiškėjo</w:t>
      </w:r>
      <w:r>
        <w:rPr>
          <w:rFonts w:ascii="Times New Roman" w:hAnsi="Times New Roman"/>
          <w:sz w:val="24"/>
          <w:szCs w:val="24"/>
        </w:rPr>
        <w:t xml:space="preserve"> peticijos</w:t>
      </w:r>
      <w:r w:rsidRPr="00DC6625">
        <w:rPr>
          <w:rFonts w:ascii="Times New Roman" w:hAnsi="Times New Roman"/>
          <w:sz w:val="24"/>
          <w:szCs w:val="24"/>
        </w:rPr>
        <w:t xml:space="preserve"> pridėto sutarimo sudarymo metu) 4 straipsnio 2 dalyje nustatyta, kad žemė grąžinama</w:t>
      </w:r>
      <w:r>
        <w:rPr>
          <w:rFonts w:ascii="Times New Roman" w:hAnsi="Times New Roman"/>
          <w:sz w:val="24"/>
          <w:szCs w:val="24"/>
        </w:rPr>
        <w:t xml:space="preserve"> </w:t>
      </w:r>
      <w:r w:rsidRPr="00DC6625">
        <w:rPr>
          <w:rFonts w:ascii="Times New Roman" w:hAnsi="Times New Roman"/>
          <w:sz w:val="24"/>
          <w:szCs w:val="24"/>
        </w:rPr>
        <w:t>natūra turėtoje vietoje piliečiui arba piliečiams bendrosios nuosavybės teise, išskyrus žemę, pagal</w:t>
      </w:r>
      <w:r>
        <w:rPr>
          <w:rFonts w:ascii="Times New Roman" w:hAnsi="Times New Roman"/>
          <w:sz w:val="24"/>
          <w:szCs w:val="24"/>
        </w:rPr>
        <w:t xml:space="preserve"> </w:t>
      </w:r>
      <w:r w:rsidRPr="00DC6625">
        <w:rPr>
          <w:rFonts w:ascii="Times New Roman" w:hAnsi="Times New Roman"/>
          <w:sz w:val="24"/>
          <w:szCs w:val="24"/>
        </w:rPr>
        <w:t>šio įstatymo 12 straipsnį priskirtą valstybės išperkamai žemei, ir žemę, kurios šio straipsnio 10</w:t>
      </w:r>
      <w:r>
        <w:rPr>
          <w:rFonts w:ascii="Times New Roman" w:hAnsi="Times New Roman"/>
          <w:sz w:val="24"/>
          <w:szCs w:val="24"/>
        </w:rPr>
        <w:t xml:space="preserve"> </w:t>
      </w:r>
      <w:r w:rsidRPr="00DC6625">
        <w:rPr>
          <w:rFonts w:ascii="Times New Roman" w:hAnsi="Times New Roman"/>
          <w:sz w:val="24"/>
          <w:szCs w:val="24"/>
        </w:rPr>
        <w:t>dalyje nurodytu atveju susigrąžinti turėtoje vietoj</w:t>
      </w:r>
      <w:r>
        <w:rPr>
          <w:rFonts w:ascii="Times New Roman" w:hAnsi="Times New Roman"/>
          <w:sz w:val="24"/>
          <w:szCs w:val="24"/>
        </w:rPr>
        <w:t>e piliečiai nepageidauja. Taigi</w:t>
      </w:r>
      <w:r w:rsidRPr="00DC6625">
        <w:rPr>
          <w:rFonts w:ascii="Times New Roman" w:hAnsi="Times New Roman"/>
          <w:sz w:val="24"/>
          <w:szCs w:val="24"/>
        </w:rPr>
        <w:t xml:space="preserve"> nei šiuo metu</w:t>
      </w:r>
      <w:r>
        <w:rPr>
          <w:rFonts w:ascii="Times New Roman" w:hAnsi="Times New Roman"/>
          <w:sz w:val="24"/>
          <w:szCs w:val="24"/>
        </w:rPr>
        <w:t xml:space="preserve"> </w:t>
      </w:r>
      <w:r w:rsidRPr="00DC6625">
        <w:rPr>
          <w:rFonts w:ascii="Times New Roman" w:hAnsi="Times New Roman"/>
          <w:sz w:val="24"/>
          <w:szCs w:val="24"/>
        </w:rPr>
        <w:t>galiojančiame Įstatyme, nei 2001 m. kovo 22 d. galiojusioje Įstatymo redakcijoje nėra detaliau</w:t>
      </w:r>
      <w:r>
        <w:rPr>
          <w:rFonts w:ascii="Times New Roman" w:hAnsi="Times New Roman"/>
          <w:sz w:val="24"/>
          <w:szCs w:val="24"/>
        </w:rPr>
        <w:t xml:space="preserve"> </w:t>
      </w:r>
      <w:r w:rsidRPr="00DC6625">
        <w:rPr>
          <w:rFonts w:ascii="Times New Roman" w:hAnsi="Times New Roman"/>
          <w:sz w:val="24"/>
          <w:szCs w:val="24"/>
        </w:rPr>
        <w:t>reglamentuota bendraturčių teisė susitarti dėl grąžinamos žemės padalijimo.</w:t>
      </w:r>
    </w:p>
    <w:p w:rsidR="00284B49" w:rsidRPr="007928DF" w:rsidRDefault="00284B49" w:rsidP="007236B9">
      <w:pPr>
        <w:autoSpaceDE w:val="0"/>
        <w:autoSpaceDN w:val="0"/>
        <w:adjustRightInd w:val="0"/>
        <w:spacing w:after="0" w:line="360" w:lineRule="auto"/>
        <w:ind w:firstLine="709"/>
        <w:jc w:val="both"/>
        <w:rPr>
          <w:rFonts w:ascii="Times New Roman" w:hAnsi="Times New Roman"/>
          <w:i/>
          <w:sz w:val="24"/>
          <w:szCs w:val="24"/>
        </w:rPr>
      </w:pPr>
      <w:r w:rsidRPr="00732451">
        <w:rPr>
          <w:rFonts w:ascii="Times New Roman" w:hAnsi="Times New Roman"/>
          <w:sz w:val="24"/>
          <w:szCs w:val="24"/>
        </w:rPr>
        <w:t xml:space="preserve">Lietuvos Respublikos Vyriausybės 1997 m. rugsėjo 29 d. nutarimu Nr. 1057 „Dėl Lietuvos Respublikos piliečių nuosavybės teisių į išlikusį nekilnojamąjį turtą atkūrimo įstatymo įgyvendinimo tvarkos ir sąlygų“ patvirtintos Lietuvos Respublikos piliečių nuosavybės teisių į išlikusį nekilnojamąjį turtą atkūrimo įstatymo įgyvendinimo tvarkos (toliau </w:t>
      </w:r>
      <w:r>
        <w:rPr>
          <w:rFonts w:ascii="Times New Roman" w:hAnsi="Times New Roman"/>
          <w:sz w:val="24"/>
          <w:szCs w:val="24"/>
        </w:rPr>
        <w:t>–</w:t>
      </w:r>
      <w:r w:rsidRPr="00732451">
        <w:rPr>
          <w:rFonts w:ascii="Times New Roman" w:hAnsi="Times New Roman"/>
          <w:sz w:val="24"/>
          <w:szCs w:val="24"/>
        </w:rPr>
        <w:t xml:space="preserve"> Tvarka) 15 punkte nustatyta, kad prie prašymo atkurti nuosavybės teises taip pat gali būti pridėtas piliečių susitarimas, nurodantis, į kurias to paties turto dalis jie pageidauja atkurti nuosavybės teises. </w:t>
      </w:r>
      <w:r w:rsidRPr="00DC6625">
        <w:rPr>
          <w:rFonts w:ascii="Times New Roman" w:hAnsi="Times New Roman"/>
          <w:sz w:val="24"/>
          <w:szCs w:val="24"/>
        </w:rPr>
        <w:t>Šiuo atveju piliečių</w:t>
      </w:r>
      <w:r>
        <w:rPr>
          <w:rFonts w:ascii="Times New Roman" w:hAnsi="Times New Roman"/>
          <w:sz w:val="24"/>
          <w:szCs w:val="24"/>
        </w:rPr>
        <w:t xml:space="preserve"> </w:t>
      </w:r>
      <w:r w:rsidRPr="00DC6625">
        <w:rPr>
          <w:rFonts w:ascii="Times New Roman" w:hAnsi="Times New Roman"/>
          <w:sz w:val="24"/>
          <w:szCs w:val="24"/>
        </w:rPr>
        <w:t>parašai turi būti patvirtinti notariškai. Tvarkos 16 punkte numatyta, kad, grąžinant žemės sklypą</w:t>
      </w:r>
      <w:r>
        <w:rPr>
          <w:rFonts w:ascii="Times New Roman" w:hAnsi="Times New Roman"/>
          <w:sz w:val="24"/>
          <w:szCs w:val="24"/>
        </w:rPr>
        <w:t xml:space="preserve"> </w:t>
      </w:r>
      <w:r w:rsidRPr="00DC6625">
        <w:rPr>
          <w:rFonts w:ascii="Times New Roman" w:hAnsi="Times New Roman"/>
          <w:sz w:val="24"/>
          <w:szCs w:val="24"/>
        </w:rPr>
        <w:t>bendrosios nuosavybės teise, žemės reformos žemėtvarkos projekte žymimas ir vietovėje</w:t>
      </w:r>
      <w:r>
        <w:rPr>
          <w:rFonts w:ascii="Times New Roman" w:hAnsi="Times New Roman"/>
          <w:sz w:val="24"/>
          <w:szCs w:val="24"/>
        </w:rPr>
        <w:t xml:space="preserve"> </w:t>
      </w:r>
      <w:r w:rsidRPr="00DC6625">
        <w:rPr>
          <w:rFonts w:ascii="Times New Roman" w:hAnsi="Times New Roman"/>
          <w:sz w:val="24"/>
          <w:szCs w:val="24"/>
        </w:rPr>
        <w:t>ženklinamas visas savininko turėtas (grąžintinas natūra) žemės sklypas, į kurį atkuriamos</w:t>
      </w:r>
      <w:r>
        <w:rPr>
          <w:rFonts w:ascii="Times New Roman" w:hAnsi="Times New Roman"/>
          <w:sz w:val="24"/>
          <w:szCs w:val="24"/>
        </w:rPr>
        <w:t xml:space="preserve"> </w:t>
      </w:r>
      <w:r w:rsidRPr="00DC6625">
        <w:rPr>
          <w:rFonts w:ascii="Times New Roman" w:hAnsi="Times New Roman"/>
          <w:sz w:val="24"/>
          <w:szCs w:val="24"/>
        </w:rPr>
        <w:t xml:space="preserve">nuosavybės teisės. </w:t>
      </w:r>
      <w:r w:rsidRPr="007928DF">
        <w:rPr>
          <w:rFonts w:ascii="Times New Roman" w:hAnsi="Times New Roman"/>
          <w:sz w:val="24"/>
          <w:szCs w:val="24"/>
        </w:rPr>
        <w:t xml:space="preserve">Žemės bendraturčių susitarimu žemė natūra gali būti grąžinama atskirais sklypais. Grąžinant žemę natūra bendrosios nuosavybės teise, grąžintas žemės sklypas įregistruojamas Nekilnojamojo turto registre, jame nurodomi </w:t>
      </w:r>
      <w:proofErr w:type="spellStart"/>
      <w:r w:rsidRPr="007928DF">
        <w:rPr>
          <w:rFonts w:ascii="Times New Roman" w:hAnsi="Times New Roman"/>
          <w:sz w:val="24"/>
          <w:szCs w:val="24"/>
        </w:rPr>
        <w:t>bendraturčiai</w:t>
      </w:r>
      <w:proofErr w:type="spellEnd"/>
      <w:r w:rsidRPr="007928DF">
        <w:rPr>
          <w:rFonts w:ascii="Times New Roman" w:hAnsi="Times New Roman"/>
          <w:sz w:val="24"/>
          <w:szCs w:val="24"/>
        </w:rPr>
        <w:t xml:space="preserve"> ir jiems priklausančios bendrosios nuosavybės dalys.</w:t>
      </w:r>
      <w:r>
        <w:rPr>
          <w:rFonts w:ascii="Times New Roman" w:hAnsi="Times New Roman"/>
          <w:sz w:val="24"/>
          <w:szCs w:val="24"/>
        </w:rPr>
        <w:t xml:space="preserve"> Nuosavybės teisės į</w:t>
      </w:r>
      <w:r w:rsidRPr="00DC6625">
        <w:rPr>
          <w:rFonts w:ascii="Times New Roman" w:hAnsi="Times New Roman"/>
          <w:sz w:val="24"/>
          <w:szCs w:val="24"/>
        </w:rPr>
        <w:t xml:space="preserve"> žemę natūra atkuriamos pažymėjus grąžinamo</w:t>
      </w:r>
      <w:r>
        <w:rPr>
          <w:rFonts w:ascii="Times New Roman" w:hAnsi="Times New Roman"/>
          <w:sz w:val="24"/>
          <w:szCs w:val="24"/>
        </w:rPr>
        <w:t xml:space="preserve"> </w:t>
      </w:r>
      <w:r w:rsidRPr="00DC6625">
        <w:rPr>
          <w:rFonts w:ascii="Times New Roman" w:hAnsi="Times New Roman"/>
          <w:sz w:val="24"/>
          <w:szCs w:val="24"/>
        </w:rPr>
        <w:t>žemės sklypo ribas žemės reformos žemėtvarkos projekte ir paženklinus jį vietovėje. Pažymėtina,</w:t>
      </w:r>
      <w:r>
        <w:rPr>
          <w:rFonts w:ascii="Times New Roman" w:hAnsi="Times New Roman"/>
          <w:sz w:val="24"/>
          <w:szCs w:val="24"/>
        </w:rPr>
        <w:t xml:space="preserve"> </w:t>
      </w:r>
      <w:r w:rsidRPr="00DC6625">
        <w:rPr>
          <w:rFonts w:ascii="Times New Roman" w:hAnsi="Times New Roman"/>
          <w:sz w:val="24"/>
          <w:szCs w:val="24"/>
        </w:rPr>
        <w:t>kad analogiškos aptartoms normoms nuostatos taip pat yra įtvirtintos 2001 m. kovo 22 d.</w:t>
      </w:r>
      <w:r>
        <w:rPr>
          <w:rFonts w:ascii="Times New Roman" w:hAnsi="Times New Roman"/>
          <w:sz w:val="24"/>
          <w:szCs w:val="24"/>
        </w:rPr>
        <w:t xml:space="preserve"> </w:t>
      </w:r>
      <w:r w:rsidRPr="00DC6625">
        <w:rPr>
          <w:rFonts w:ascii="Times New Roman" w:hAnsi="Times New Roman"/>
          <w:sz w:val="24"/>
          <w:szCs w:val="24"/>
        </w:rPr>
        <w:t xml:space="preserve">galiojusios Tvarkos redakcijos 15 ir 16 punktuose. </w:t>
      </w:r>
      <w:r w:rsidRPr="007928DF">
        <w:rPr>
          <w:rFonts w:ascii="Times New Roman" w:hAnsi="Times New Roman"/>
          <w:i/>
          <w:sz w:val="24"/>
          <w:szCs w:val="24"/>
        </w:rPr>
        <w:t>Taigi ir šiuo metu galiojančioje Tvarkoje, ir 2001 m. kovo 22 d. galiojusioje Tvarkos redakcijoje yra įtvirtinta nuostata, kuri leidžia piliečiams suda</w:t>
      </w:r>
      <w:r>
        <w:rPr>
          <w:rFonts w:ascii="Times New Roman" w:hAnsi="Times New Roman"/>
          <w:i/>
          <w:sz w:val="24"/>
          <w:szCs w:val="24"/>
        </w:rPr>
        <w:t>ryti susitarimus, nurodančius, į</w:t>
      </w:r>
      <w:r w:rsidRPr="007928DF">
        <w:rPr>
          <w:rFonts w:ascii="Times New Roman" w:hAnsi="Times New Roman"/>
          <w:i/>
          <w:sz w:val="24"/>
          <w:szCs w:val="24"/>
        </w:rPr>
        <w:t xml:space="preserve"> kurias to paties turto dalis jie pageidauja atkurti nuosavybės teises.</w:t>
      </w:r>
    </w:p>
    <w:p w:rsidR="00AD52F1" w:rsidRDefault="00284B49" w:rsidP="007236B9">
      <w:pPr>
        <w:spacing w:after="0" w:line="360" w:lineRule="auto"/>
        <w:ind w:firstLine="720"/>
        <w:jc w:val="both"/>
        <w:rPr>
          <w:rFonts w:ascii="Times New Roman" w:eastAsia="TimesNewRomanPSMT" w:hAnsi="Times New Roman"/>
          <w:sz w:val="24"/>
          <w:szCs w:val="24"/>
        </w:rPr>
      </w:pPr>
      <w:r w:rsidRPr="00284B49">
        <w:rPr>
          <w:rFonts w:ascii="Times New Roman" w:hAnsi="Times New Roman" w:cs="Times New Roman"/>
          <w:sz w:val="24"/>
          <w:szCs w:val="24"/>
        </w:rPr>
        <w:t xml:space="preserve">Antruoju klausimu </w:t>
      </w:r>
      <w:r w:rsidR="00AD52F1">
        <w:rPr>
          <w:rFonts w:ascii="Times New Roman" w:hAnsi="Times New Roman" w:cs="Times New Roman"/>
          <w:sz w:val="24"/>
          <w:szCs w:val="24"/>
        </w:rPr>
        <w:t xml:space="preserve">buvo priimtas sprendimas atmesti </w:t>
      </w:r>
      <w:r w:rsidR="00AD52F1">
        <w:rPr>
          <w:rFonts w:ascii="Times New Roman" w:hAnsi="Times New Roman"/>
          <w:sz w:val="24"/>
          <w:szCs w:val="24"/>
        </w:rPr>
        <w:t>Rolando Čiapo peticijoje</w:t>
      </w:r>
      <w:r w:rsidR="00AD52F1" w:rsidRPr="0035475D">
        <w:rPr>
          <w:rFonts w:ascii="Times New Roman" w:hAnsi="Times New Roman"/>
          <w:bCs/>
          <w:sz w:val="24"/>
          <w:szCs w:val="24"/>
        </w:rPr>
        <w:t xml:space="preserve"> </w:t>
      </w:r>
      <w:r w:rsidR="00AD52F1" w:rsidRPr="00C146C1">
        <w:rPr>
          <w:rFonts w:ascii="Times New Roman" w:eastAsia="TimesNewRomanPSMT" w:hAnsi="Times New Roman"/>
          <w:sz w:val="24"/>
          <w:szCs w:val="24"/>
        </w:rPr>
        <w:t xml:space="preserve">„Dėl </w:t>
      </w:r>
      <w:r w:rsidR="00AD52F1">
        <w:rPr>
          <w:rFonts w:ascii="Times New Roman" w:eastAsia="TimesNewRomanPSMT" w:hAnsi="Times New Roman"/>
          <w:sz w:val="24"/>
          <w:szCs w:val="24"/>
        </w:rPr>
        <w:t>Lietuvos Respublikos baudžiamojo kodekso 260 straipsnio pakeitimo</w:t>
      </w:r>
      <w:r w:rsidR="00AD52F1" w:rsidRPr="00C146C1">
        <w:rPr>
          <w:rFonts w:ascii="Times New Roman" w:eastAsia="TimesNewRomanPSMT" w:hAnsi="Times New Roman"/>
          <w:sz w:val="24"/>
          <w:szCs w:val="24"/>
        </w:rPr>
        <w:t>“</w:t>
      </w:r>
      <w:r w:rsidR="00AD52F1">
        <w:rPr>
          <w:rFonts w:ascii="Times New Roman" w:eastAsia="TimesNewRomanPSMT" w:hAnsi="Times New Roman"/>
          <w:sz w:val="24"/>
          <w:szCs w:val="24"/>
        </w:rPr>
        <w:t xml:space="preserve"> pateiktą pasiūlymą</w:t>
      </w:r>
      <w:r w:rsidR="00AD52F1">
        <w:rPr>
          <w:rFonts w:ascii="Times New Roman" w:hAnsi="Times New Roman"/>
          <w:sz w:val="24"/>
          <w:szCs w:val="24"/>
        </w:rPr>
        <w:t xml:space="preserve"> </w:t>
      </w:r>
      <w:r w:rsidR="00AD52F1">
        <w:rPr>
          <w:rFonts w:ascii="Times New Roman" w:eastAsia="TimesNewRomanPSMT" w:hAnsi="Times New Roman"/>
          <w:sz w:val="24"/>
          <w:szCs w:val="24"/>
        </w:rPr>
        <w:t>„ženkliai švelninti“ Lietuvos Respublikos baudžiamojo kodekso (toliau – BK) 260 straipsnyje nustatytas bausmes.</w:t>
      </w:r>
    </w:p>
    <w:p w:rsidR="00AD52F1" w:rsidRDefault="00AD52F1" w:rsidP="007236B9">
      <w:pPr>
        <w:spacing w:after="0" w:line="360" w:lineRule="auto"/>
        <w:ind w:firstLine="720"/>
        <w:jc w:val="both"/>
        <w:rPr>
          <w:rFonts w:ascii="Times New Roman" w:hAnsi="Times New Roman"/>
          <w:color w:val="000000"/>
          <w:sz w:val="24"/>
          <w:szCs w:val="24"/>
        </w:rPr>
      </w:pPr>
      <w:r w:rsidRPr="0035475D">
        <w:rPr>
          <w:rFonts w:ascii="Times New Roman" w:hAnsi="Times New Roman"/>
          <w:color w:val="000000"/>
          <w:sz w:val="24"/>
          <w:szCs w:val="24"/>
        </w:rPr>
        <w:t xml:space="preserve">Komisija šį sprendimą priėmė, atsižvelgusi į </w:t>
      </w:r>
      <w:r>
        <w:rPr>
          <w:rFonts w:ascii="Times New Roman" w:hAnsi="Times New Roman"/>
          <w:color w:val="000000"/>
          <w:sz w:val="24"/>
          <w:szCs w:val="24"/>
        </w:rPr>
        <w:t>Lietuvos Respublikos teisingumo ministerijos pateiktą nuomonę ir dėl šių motyvų:</w:t>
      </w:r>
    </w:p>
    <w:p w:rsidR="00AD52F1" w:rsidRDefault="00AD52F1" w:rsidP="007236B9">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lastRenderedPageBreak/>
        <w:t>1) u</w:t>
      </w:r>
      <w:r w:rsidRPr="001017F5">
        <w:rPr>
          <w:rFonts w:ascii="Times New Roman" w:eastAsia="TimesNewRomanPSMT" w:hAnsi="Times New Roman"/>
          <w:sz w:val="24"/>
          <w:szCs w:val="24"/>
        </w:rPr>
        <w:t>ž nusikalstamą veiką, numatytą BK 259 straipsnyje, kai neteisėtai disponuojama narkotinėmis ar psichotropinėmis medžiagomis be tikslo jas platinti, griežčiausia</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numatyta bausmė yra dveji metai laisvės atėmimo. Baudžiamąją atsakomybę už BK 260 straipsnyje</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numatytą nusikalstamą veiką sunkina </w:t>
      </w:r>
      <w:r w:rsidRPr="001017F5">
        <w:rPr>
          <w:rFonts w:ascii="Times New Roman" w:eastAsia="TimesNewRomanPS-ItalicMT" w:hAnsi="Times New Roman"/>
          <w:i/>
          <w:iCs/>
          <w:sz w:val="24"/>
          <w:szCs w:val="24"/>
        </w:rPr>
        <w:t xml:space="preserve">tikslas platinti </w:t>
      </w:r>
      <w:r w:rsidRPr="001017F5">
        <w:rPr>
          <w:rFonts w:ascii="Times New Roman" w:eastAsia="TimesNewRomanPSMT" w:hAnsi="Times New Roman"/>
          <w:sz w:val="24"/>
          <w:szCs w:val="24"/>
        </w:rPr>
        <w:t>narkotines ar psichotropines medžiagas ir tokių</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medžiagų, kuriomis disponuojama, </w:t>
      </w:r>
      <w:r w:rsidRPr="00827E5C">
        <w:rPr>
          <w:rFonts w:ascii="Times New Roman" w:eastAsia="TimesNewRomanPS-ItalicMT" w:hAnsi="Times New Roman"/>
          <w:iCs/>
          <w:sz w:val="24"/>
          <w:szCs w:val="24"/>
        </w:rPr>
        <w:t>didelis arba labai didelis kiekis.</w:t>
      </w:r>
      <w:r w:rsidRPr="001017F5">
        <w:rPr>
          <w:rFonts w:ascii="Times New Roman" w:eastAsia="TimesNewRomanPS-ItalicMT" w:hAnsi="Times New Roman"/>
          <w:i/>
          <w:iCs/>
          <w:sz w:val="24"/>
          <w:szCs w:val="24"/>
        </w:rPr>
        <w:t xml:space="preserve"> </w:t>
      </w:r>
      <w:r w:rsidRPr="001017F5">
        <w:rPr>
          <w:rFonts w:ascii="Times New Roman" w:eastAsia="TimesNewRomanPSMT" w:hAnsi="Times New Roman"/>
          <w:sz w:val="24"/>
          <w:szCs w:val="24"/>
        </w:rPr>
        <w:t>Už 260 straipsnio 1 dalyje</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numatytą nusikalstamą veiką (kai nėra tikslo narkotines ar psichotropines medžiagas platinti),</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teisėjas, įvertinęs visas bylos aplinkybes ir skirdamas galutinę bausmę asmeniui, gali pasirinkti tarp</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2 ir 8 metų laisvės atėmimo bausmės, o pačios griežčiausios sankcijos numatytos tiems, kurie</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neteisėtai gamino, perdirbo, įgijo, laikė, gabeno ar siuntė </w:t>
      </w:r>
      <w:r w:rsidRPr="00827E5C">
        <w:rPr>
          <w:rFonts w:ascii="Times New Roman" w:eastAsia="TimesNewRomanPS-ItalicMT" w:hAnsi="Times New Roman"/>
          <w:iCs/>
          <w:sz w:val="24"/>
          <w:szCs w:val="24"/>
        </w:rPr>
        <w:t>didelį kiekį</w:t>
      </w:r>
      <w:r w:rsidRPr="001017F5">
        <w:rPr>
          <w:rFonts w:ascii="Times New Roman" w:eastAsia="TimesNewRomanPS-ItalicMT" w:hAnsi="Times New Roman"/>
          <w:i/>
          <w:iCs/>
          <w:sz w:val="24"/>
          <w:szCs w:val="24"/>
        </w:rPr>
        <w:t xml:space="preserve"> </w:t>
      </w:r>
      <w:r w:rsidRPr="001017F5">
        <w:rPr>
          <w:rFonts w:ascii="Times New Roman" w:eastAsia="TimesNewRomanPSMT" w:hAnsi="Times New Roman"/>
          <w:sz w:val="24"/>
          <w:szCs w:val="24"/>
        </w:rPr>
        <w:t>narkotinių ar psichotropinių</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medžiagų turėdami </w:t>
      </w:r>
      <w:r w:rsidRPr="00827E5C">
        <w:rPr>
          <w:rFonts w:ascii="Times New Roman" w:eastAsia="TimesNewRomanPS-ItalicMT" w:hAnsi="Times New Roman"/>
          <w:iCs/>
          <w:sz w:val="24"/>
          <w:szCs w:val="24"/>
        </w:rPr>
        <w:t>tikslą</w:t>
      </w:r>
      <w:r w:rsidRPr="001017F5">
        <w:rPr>
          <w:rFonts w:ascii="Times New Roman" w:eastAsia="TimesNewRomanPS-ItalicMT" w:hAnsi="Times New Roman"/>
          <w:i/>
          <w:iCs/>
          <w:sz w:val="24"/>
          <w:szCs w:val="24"/>
        </w:rPr>
        <w:t xml:space="preserve"> </w:t>
      </w:r>
      <w:r w:rsidRPr="001017F5">
        <w:rPr>
          <w:rFonts w:ascii="Times New Roman" w:eastAsia="TimesNewRomanPSMT" w:hAnsi="Times New Roman"/>
          <w:sz w:val="24"/>
          <w:szCs w:val="24"/>
        </w:rPr>
        <w:t xml:space="preserve">jas parduoti ar kitaip platinti arba pardavė ar kitaip </w:t>
      </w:r>
      <w:r w:rsidRPr="00827E5C">
        <w:rPr>
          <w:rFonts w:ascii="Times New Roman" w:eastAsia="TimesNewRomanPS-ItalicMT" w:hAnsi="Times New Roman"/>
          <w:iCs/>
          <w:sz w:val="24"/>
          <w:szCs w:val="24"/>
        </w:rPr>
        <w:t>platino</w:t>
      </w:r>
      <w:r w:rsidRPr="001017F5">
        <w:rPr>
          <w:rFonts w:ascii="Times New Roman" w:eastAsia="TimesNewRomanPS-ItalicMT" w:hAnsi="Times New Roman"/>
          <w:i/>
          <w:iCs/>
          <w:sz w:val="24"/>
          <w:szCs w:val="24"/>
        </w:rPr>
        <w:t xml:space="preserve"> </w:t>
      </w:r>
      <w:r w:rsidRPr="001017F5">
        <w:rPr>
          <w:rFonts w:ascii="Times New Roman" w:eastAsia="TimesNewRomanPSMT" w:hAnsi="Times New Roman"/>
          <w:sz w:val="24"/>
          <w:szCs w:val="24"/>
        </w:rPr>
        <w:t>didelį kiekį</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narkotinių ar psichotropinių medžiagų, arba tiems, kas neteisėtai gamino, perdirbo, įgijo, laikė,</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gabeno, siuntė, pardavė ar kitaip platino </w:t>
      </w:r>
      <w:r w:rsidRPr="00827E5C">
        <w:rPr>
          <w:rFonts w:ascii="Times New Roman" w:eastAsia="TimesNewRomanPS-ItalicMT" w:hAnsi="Times New Roman"/>
          <w:iCs/>
          <w:sz w:val="24"/>
          <w:szCs w:val="24"/>
        </w:rPr>
        <w:t>labai didelį</w:t>
      </w:r>
      <w:r w:rsidRPr="001017F5">
        <w:rPr>
          <w:rFonts w:ascii="Times New Roman" w:eastAsia="TimesNewRomanPS-ItalicMT" w:hAnsi="Times New Roman"/>
          <w:i/>
          <w:iCs/>
          <w:sz w:val="24"/>
          <w:szCs w:val="24"/>
        </w:rPr>
        <w:t xml:space="preserve"> </w:t>
      </w:r>
      <w:r w:rsidRPr="00827E5C">
        <w:rPr>
          <w:rFonts w:ascii="Times New Roman" w:eastAsia="TimesNewRomanPS-ItalicMT" w:hAnsi="Times New Roman"/>
          <w:iCs/>
          <w:sz w:val="24"/>
          <w:szCs w:val="24"/>
        </w:rPr>
        <w:t>kiekį</w:t>
      </w:r>
      <w:r w:rsidRPr="001017F5">
        <w:rPr>
          <w:rFonts w:ascii="Times New Roman" w:eastAsia="TimesNewRomanPS-ItalicMT" w:hAnsi="Times New Roman"/>
          <w:i/>
          <w:iCs/>
          <w:sz w:val="24"/>
          <w:szCs w:val="24"/>
        </w:rPr>
        <w:t xml:space="preserve"> </w:t>
      </w:r>
      <w:r w:rsidRPr="001017F5">
        <w:rPr>
          <w:rFonts w:ascii="Times New Roman" w:eastAsia="TimesNewRomanPSMT" w:hAnsi="Times New Roman"/>
          <w:sz w:val="24"/>
          <w:szCs w:val="24"/>
        </w:rPr>
        <w:t>narkotinių ar psichotropinių medžiagų</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(atitinkamai nuo 8 iki 10 metų ir nuo 10 iki 15 metų laisvės atėmimo). Taigi pačios griežčiausios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sankcijos gali būti taikomos tik tada, kai yra papildomi baudžiamąją atsakomybę kvalifikuojantys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požymiai. </w:t>
      </w:r>
    </w:p>
    <w:p w:rsidR="00AD52F1" w:rsidRDefault="00AD52F1" w:rsidP="007236B9">
      <w:pPr>
        <w:autoSpaceDE w:val="0"/>
        <w:autoSpaceDN w:val="0"/>
        <w:adjustRightInd w:val="0"/>
        <w:spacing w:after="0" w:line="360" w:lineRule="auto"/>
        <w:ind w:firstLine="720"/>
        <w:jc w:val="both"/>
        <w:rPr>
          <w:rFonts w:ascii="Times New Roman" w:eastAsia="TimesNewRomanPSMT" w:hAnsi="Times New Roman"/>
          <w:sz w:val="24"/>
          <w:szCs w:val="24"/>
        </w:rPr>
      </w:pPr>
      <w:r w:rsidRPr="001017F5">
        <w:rPr>
          <w:rFonts w:ascii="Times New Roman" w:eastAsia="TimesNewRomanPSMT" w:hAnsi="Times New Roman"/>
          <w:sz w:val="24"/>
          <w:szCs w:val="24"/>
        </w:rPr>
        <w:t>Atkreiptinas dėmesys, kad BK 260 straipsnyje įtvirtintu nusikaltimu kėsinamasi į</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visuomenės sveikatą, kuriai kyla pavojus pažeidžiant teisės aktais nustatytą narkotinių ir</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psichotropinių medžiagų apyvartos tvarką. Be to, neteisėtas disponavimas narkotinėmis ar</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psichotropinėmis medžiagomis turint tikslą jas platinti arba neteisėtas disponavimas labai dideliu</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narkotinių ai- psichotropinių medžiagų kiekiu padaromas tik esant kaltininko tiesioginei tyčiai, kas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rodo nusikaltimo pavojingumo laipsnį. Bausmės švelninimo klausimo sprendimas galimas tik</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atlikus išsamius tyrimus, studijas, kiek tai yra susiję su konkrečios veikos </w:t>
      </w:r>
      <w:proofErr w:type="spellStart"/>
      <w:r w:rsidRPr="001017F5">
        <w:rPr>
          <w:rFonts w:ascii="Times New Roman" w:eastAsia="TimesNewRomanPSMT" w:hAnsi="Times New Roman"/>
          <w:sz w:val="24"/>
          <w:szCs w:val="24"/>
        </w:rPr>
        <w:t>depenalizavimo</w:t>
      </w:r>
      <w:proofErr w:type="spellEnd"/>
      <w:r>
        <w:rPr>
          <w:rFonts w:ascii="Times New Roman" w:eastAsia="TimesNewRomanPSMT" w:hAnsi="Times New Roman"/>
          <w:sz w:val="24"/>
          <w:szCs w:val="24"/>
        </w:rPr>
        <w:t xml:space="preserve"> </w:t>
      </w:r>
      <w:r w:rsidRPr="001017F5">
        <w:rPr>
          <w:rFonts w:ascii="Times New Roman" w:eastAsia="TimesNewRomanPSMT" w:hAnsi="Times New Roman"/>
          <w:sz w:val="24"/>
          <w:szCs w:val="24"/>
        </w:rPr>
        <w:t>reiškinio aspektais.</w:t>
      </w:r>
    </w:p>
    <w:p w:rsidR="00AD52F1" w:rsidRPr="001017F5" w:rsidRDefault="00AD52F1" w:rsidP="007236B9">
      <w:pPr>
        <w:autoSpaceDE w:val="0"/>
        <w:autoSpaceDN w:val="0"/>
        <w:adjustRightInd w:val="0"/>
        <w:spacing w:after="0" w:line="360" w:lineRule="auto"/>
        <w:ind w:firstLine="720"/>
        <w:jc w:val="both"/>
        <w:rPr>
          <w:rFonts w:ascii="Times New Roman" w:eastAsia="TimesNewRomanPSMT" w:hAnsi="Times New Roman"/>
          <w:sz w:val="24"/>
          <w:szCs w:val="24"/>
        </w:rPr>
      </w:pPr>
      <w:r w:rsidRPr="001017F5">
        <w:rPr>
          <w:rFonts w:ascii="Times New Roman" w:eastAsia="TimesNewRomanPSMT" w:hAnsi="Times New Roman"/>
          <w:sz w:val="24"/>
          <w:szCs w:val="24"/>
        </w:rPr>
        <w:t>Pažymėtina ir tai, kad pagal pastarųjų metų (2011 m., 2012 m., 2013 m.)</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statistinius duomenis, kuriuos pateikia Informatikos ir ryšių departamentas prie Lietuvos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Respublikos vidaus reikalų ministerijos, neteisėtas disponavimas narkotinėmis ar psichotropinėmis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medžiagomis turint tikslą jas platinti arba neteisėtas disponavimas labai dideliu narkotinių ar</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psichotropinių medžiagų kiekiu visų nusikalstamų ir baudžiamųjų nusižengimų, susijusių su</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disponavimu narkotinėmis ar psichotropinėmis, nuodingosiomis ar stipriai veikiančiomis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medžiagomis, kontekste yra viena dažniausiai užr</w:t>
      </w:r>
      <w:r>
        <w:rPr>
          <w:rFonts w:ascii="Times New Roman" w:eastAsia="TimesNewRomanPSMT" w:hAnsi="Times New Roman"/>
          <w:sz w:val="24"/>
          <w:szCs w:val="24"/>
        </w:rPr>
        <w:t>egistruojamų nusikalstamų veikų;</w:t>
      </w:r>
    </w:p>
    <w:p w:rsidR="00AD52F1" w:rsidRDefault="00AD52F1" w:rsidP="007236B9">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2)</w:t>
      </w:r>
      <w:r w:rsidRPr="001017F5">
        <w:rPr>
          <w:rFonts w:ascii="Times New Roman" w:eastAsia="TimesNewRomanPSMT" w:hAnsi="Times New Roman"/>
          <w:sz w:val="24"/>
          <w:szCs w:val="24"/>
        </w:rPr>
        <w:t xml:space="preserve"> </w:t>
      </w:r>
      <w:r>
        <w:rPr>
          <w:rFonts w:ascii="Times New Roman" w:eastAsia="TimesNewRomanPSMT" w:hAnsi="Times New Roman"/>
          <w:sz w:val="24"/>
          <w:szCs w:val="24"/>
        </w:rPr>
        <w:t>BK 54 straipsnyje į</w:t>
      </w:r>
      <w:r w:rsidRPr="001017F5">
        <w:rPr>
          <w:rFonts w:ascii="Times New Roman" w:eastAsia="TimesNewRomanPSMT" w:hAnsi="Times New Roman"/>
          <w:sz w:val="24"/>
          <w:szCs w:val="24"/>
        </w:rPr>
        <w:t>tvirtintos nuostatos, susijusios su</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bendraisiais bausmės skyrimo pagrindais. Šio straipsnio 1 dalyje nurodyta, kad teismas skiria</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bausmę pagal šio kodekso specialiosios dalies straipsnio, numatančio atsakomybę už padarytą</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nusikalstamą veiką, sankciją, laikydamasis šio kodekso bendrosios dalies nuostatų. Skirdamas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bausmę, teismas </w:t>
      </w:r>
      <w:r w:rsidRPr="001017F5">
        <w:rPr>
          <w:rFonts w:ascii="Times New Roman" w:eastAsia="TimesNewRomanPSMT" w:hAnsi="Times New Roman"/>
          <w:sz w:val="24"/>
          <w:szCs w:val="24"/>
        </w:rPr>
        <w:lastRenderedPageBreak/>
        <w:t>atsižvelgia į padarytos nusikalstamos veikos pavojingumo laipsnį, kaltės formą ir</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rūšį, padarytos nusikalstamos veikos motyvus ir tikslus, nusikalstamos veikos stadiją, kaltininko</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asmenybę, asmens kaip bendrininko dalyvavimo darant nusikalstamą veiką formą ir rūšį,</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atsakomybę lengvinančias bei sunkinančias aplinkybes. Pagrindinis teismo</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uždavinys </w:t>
      </w:r>
      <w:r>
        <w:rPr>
          <w:rFonts w:ascii="Times New Roman" w:eastAsia="TimesNewRomanPSMT" w:hAnsi="Times New Roman"/>
          <w:sz w:val="24"/>
          <w:szCs w:val="24"/>
        </w:rPr>
        <w:t>–</w:t>
      </w:r>
      <w:r w:rsidRPr="001017F5">
        <w:rPr>
          <w:rFonts w:ascii="Times New Roman" w:eastAsia="TimesNewRomanPSMT" w:hAnsi="Times New Roman"/>
          <w:sz w:val="24"/>
          <w:szCs w:val="24"/>
        </w:rPr>
        <w:t xml:space="preserve"> remiantis įstatymu visapusiškai bei objektyviai ištirti baudžiamosios bylos medžiagą ir</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priimti teisėtą, pagrįstą ir teisingą nuosprendį</w:t>
      </w:r>
      <w:r>
        <w:rPr>
          <w:rFonts w:ascii="Times New Roman" w:eastAsia="TimesNewRomanPSMT" w:hAnsi="Times New Roman"/>
          <w:sz w:val="24"/>
          <w:szCs w:val="24"/>
        </w:rPr>
        <w:t>, į</w:t>
      </w:r>
      <w:r w:rsidRPr="001017F5">
        <w:rPr>
          <w:rFonts w:ascii="Times New Roman" w:eastAsia="TimesNewRomanPSMT" w:hAnsi="Times New Roman"/>
          <w:sz w:val="24"/>
          <w:szCs w:val="24"/>
        </w:rPr>
        <w:t>statymų leidėjo įtvirtinti bendrieji bausmės skyrimo</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pagrindai </w:t>
      </w:r>
      <w:r>
        <w:rPr>
          <w:rFonts w:ascii="Times New Roman" w:eastAsia="TimesNewRomanPSMT" w:hAnsi="Times New Roman"/>
          <w:sz w:val="24"/>
          <w:szCs w:val="24"/>
        </w:rPr>
        <w:t>–</w:t>
      </w:r>
      <w:r w:rsidRPr="001017F5">
        <w:rPr>
          <w:rFonts w:ascii="Times New Roman" w:eastAsia="TimesNewRomanPSMT" w:hAnsi="Times New Roman"/>
          <w:sz w:val="24"/>
          <w:szCs w:val="24"/>
        </w:rPr>
        <w:t xml:space="preserve"> viena iš svarbiausių teisėto, pagrįsto ir teisingo nubaudimo garantijų. Jų buvimas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atspindi nuostatą, kad bausmė turi būti individualizuota ir paskirta atsižvelgiant į baudžiamojo</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įstatymo reikalavimus. Lietuvos Aukščiausiojo Teismo senato 2003 m. birželio 20 d. nutarimo Nr.</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40 „Dėl teismų praktikos taikant Baudžiamojo proceso kodekso normas, reglamentuojančias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nuosprendžių surašymą“ 3.1.12 punkte akcentuojama, kad „motyvuodamas konkrečią bausmę</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teismas nuosprendyje aprašo byloje nustatytas BK 54 straipsnio 2 dalyje nurodytas aplinkybes,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įvertina kiekvienos jų reikšmę ir nurodo, kurios ir kaip nulemia bausmės rūšį ir dydį“. </w:t>
      </w:r>
    </w:p>
    <w:p w:rsidR="00AD52F1" w:rsidRPr="00827E5C" w:rsidRDefault="00AD52F1" w:rsidP="007236B9">
      <w:pPr>
        <w:autoSpaceDE w:val="0"/>
        <w:autoSpaceDN w:val="0"/>
        <w:adjustRightInd w:val="0"/>
        <w:spacing w:after="0" w:line="360" w:lineRule="auto"/>
        <w:ind w:firstLine="720"/>
        <w:jc w:val="both"/>
        <w:rPr>
          <w:rFonts w:ascii="Times New Roman" w:eastAsia="TimesNewRomanPSMT" w:hAnsi="Times New Roman"/>
          <w:i/>
          <w:sz w:val="24"/>
          <w:szCs w:val="24"/>
        </w:rPr>
      </w:pPr>
      <w:r w:rsidRPr="001017F5">
        <w:rPr>
          <w:rFonts w:ascii="Times New Roman" w:eastAsia="TimesNewRomanPSMT" w:hAnsi="Times New Roman"/>
          <w:sz w:val="24"/>
          <w:szCs w:val="24"/>
        </w:rPr>
        <w:t>Pastebėtina ir</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tai, kad BK 54 straipsnio 3 dalyje įtvirtinta nuostata, kad jeigu straipsnio sankcijoje numatytos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bausmės paskyrimas aiškiai prieštarautų teisingumo principui, teismas vadovaudamasis bausmės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paskirtimi gali motyvuotai paskirti švelnesnę bausmę. Tai reiškia, kad teismas, įvertinęs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nusikalstamos veikos pavojingumą bei visas kitas bylos aplinkybes, nepažeisdamas asmenų lygybės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prieš įstatymą principo ir padaręs išvadą, jog kaltininkui konkretaus straipsnio sankcijoje numatyta</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švelniausioji bausmė nėra teisinga, gali motyvuotai skirti švelnesnę, negu įstatymo numatyta,</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bausmę. Atsižvelgiant į tai, manytina, kad </w:t>
      </w:r>
      <w:r w:rsidRPr="00827E5C">
        <w:rPr>
          <w:rFonts w:ascii="Times New Roman" w:eastAsia="TimesNewRomanPSMT" w:hAnsi="Times New Roman"/>
          <w:i/>
          <w:sz w:val="24"/>
          <w:szCs w:val="24"/>
        </w:rPr>
        <w:t>tiek BK bendrosios ir specialiosios dalių nuostatos, tiek teismų praktika leidžia užtikrinti tinkamos bausmės paskyrimą, kuri nebūtinai yra sankcijoje numatytas gali</w:t>
      </w:r>
      <w:r>
        <w:rPr>
          <w:rFonts w:ascii="Times New Roman" w:eastAsia="TimesNewRomanPSMT" w:hAnsi="Times New Roman"/>
          <w:i/>
          <w:sz w:val="24"/>
          <w:szCs w:val="24"/>
        </w:rPr>
        <w:t>mas maksimalus laisvės atėmimas;</w:t>
      </w:r>
    </w:p>
    <w:p w:rsidR="00AD52F1" w:rsidRPr="001017F5" w:rsidRDefault="00AD52F1" w:rsidP="007236B9">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3)</w:t>
      </w:r>
      <w:r w:rsidRPr="001017F5">
        <w:rPr>
          <w:rFonts w:ascii="Times New Roman" w:eastAsia="TimesNewRomanPSMT" w:hAnsi="Times New Roman"/>
          <w:sz w:val="24"/>
          <w:szCs w:val="24"/>
        </w:rPr>
        <w:t xml:space="preserve"> Lietuvos Respublikos sveikatos apsaugos ministro</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2007 m. gruodžio 14 d. įsakymu Nr. V -1033 „Dėl Lietuvos Respublikos sveikatos apsaugos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ministro 2003 m. balandžio 23 d. įsakymo Nr. V-239 „Dėl Narkotinių ir psichotropinių medžiagų</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nedidelio, didelio ir labai didelio kiekio nustatymo rekomendacijų“ pakeitimo“ pakeistos Narkotinių</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ir psichotropinių medžiagų nedidelio, didelio ir labai didelio kiekio nustatymo rekomendacijos ir jos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išdėstytos nauja redakcija. Pažymėtina, kad rekomendacijose nustatytas tam tikros narkotinės ar</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psichotropinės medžiagos kiekis </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ar jis yra nedidelis, didelis ar labai didelis </w:t>
      </w:r>
      <w:r>
        <w:rPr>
          <w:rFonts w:ascii="Times New Roman" w:eastAsia="TimesNewRomanPSMT" w:hAnsi="Times New Roman"/>
          <w:sz w:val="24"/>
          <w:szCs w:val="24"/>
        </w:rPr>
        <w:t>–</w:t>
      </w:r>
      <w:r w:rsidRPr="001017F5">
        <w:rPr>
          <w:rFonts w:ascii="Times New Roman" w:eastAsia="TimesNewRomanPSMT" w:hAnsi="Times New Roman"/>
          <w:sz w:val="24"/>
          <w:szCs w:val="24"/>
        </w:rPr>
        <w:t xml:space="preserve"> kiekvienu konkrečiu</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atveju priklauso nuo konkrečios narkotinės ar psichotropinės medžiagos rūšies. Tai nėra absoliutūs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skaičiai, kurie vienodai taikomi visoms narkotinėms ir ps</w:t>
      </w:r>
      <w:r>
        <w:rPr>
          <w:rFonts w:ascii="Times New Roman" w:eastAsia="TimesNewRomanPSMT" w:hAnsi="Times New Roman"/>
          <w:sz w:val="24"/>
          <w:szCs w:val="24"/>
        </w:rPr>
        <w:t>ichotropinėms medžiagoms (</w:t>
      </w:r>
      <w:r w:rsidRPr="001017F5">
        <w:rPr>
          <w:rFonts w:ascii="Times New Roman" w:eastAsia="TimesNewRomanPSMT" w:hAnsi="Times New Roman"/>
          <w:sz w:val="24"/>
          <w:szCs w:val="24"/>
        </w:rPr>
        <w:t>labai</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dideliu heroino kiekiu laikomas daugiau nei 10 g medžiagos, o kanapių (ir </w:t>
      </w:r>
      <w:r w:rsidRPr="001017F5">
        <w:rPr>
          <w:rFonts w:ascii="Times New Roman" w:eastAsia="TimesNewRomanPSMT" w:hAnsi="Times New Roman"/>
          <w:sz w:val="24"/>
          <w:szCs w:val="24"/>
        </w:rPr>
        <w:lastRenderedPageBreak/>
        <w:t xml:space="preserve">jų dalių) </w:t>
      </w:r>
      <w:r>
        <w:rPr>
          <w:rFonts w:ascii="Times New Roman" w:eastAsia="TimesNewRomanPSMT" w:hAnsi="Times New Roman"/>
          <w:sz w:val="24"/>
          <w:szCs w:val="24"/>
        </w:rPr>
        <w:t>–</w:t>
      </w:r>
      <w:r w:rsidRPr="001017F5">
        <w:rPr>
          <w:rFonts w:ascii="Times New Roman" w:eastAsia="TimesNewRomanPSMT" w:hAnsi="Times New Roman"/>
          <w:sz w:val="24"/>
          <w:szCs w:val="24"/>
        </w:rPr>
        <w:t xml:space="preserve"> daugiau nei</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2500 g). Šiuo atveju svarbu ne konkretus gramų ar kilogramų skaičius, bet tai, kad įvertinus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konkrečios medžiagos sudėtį, pobūdį, jos keliamą pavojų visuomenei bei daromą poveikį, konkretus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narkotinės ar psichotropinės medžiagos kiekis (net jei tai sudaro kelis gramus) jau laikomas dideliu</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ar labai dideliu kiekiu. Pastebėtina, kad minėtu įsakymu nustatyti dydžiai </w:t>
      </w:r>
      <w:r>
        <w:rPr>
          <w:rFonts w:ascii="Times New Roman" w:eastAsia="TimesNewRomanPSMT" w:hAnsi="Times New Roman"/>
          <w:sz w:val="24"/>
          <w:szCs w:val="24"/>
        </w:rPr>
        <w:t xml:space="preserve">yra tik rekomendacinio, </w:t>
      </w:r>
      <w:r w:rsidRPr="001017F5">
        <w:rPr>
          <w:rFonts w:ascii="Times New Roman" w:eastAsia="TimesNewRomanPSMT" w:hAnsi="Times New Roman"/>
          <w:sz w:val="24"/>
          <w:szCs w:val="24"/>
        </w:rPr>
        <w:t>orientacinio pobūdžio. Taigi narkotinių ir psichotropinių medžiagų kiekis yra sąlyginis,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vertinamasis kriterijus. Todėl teismas, spręsdamas, ar konkretus narkotinių ar psichotropinių</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medžiagų kiekis gali būti pripažįstamas dideliu ar labai dideliu kiekiu, taip pat turi atsižvelgti ir į</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visas ki</w:t>
      </w:r>
      <w:r>
        <w:rPr>
          <w:rFonts w:ascii="Times New Roman" w:eastAsia="TimesNewRomanPSMT" w:hAnsi="Times New Roman"/>
          <w:sz w:val="24"/>
          <w:szCs w:val="24"/>
        </w:rPr>
        <w:t>tas konkrečios bylos aplinkybes;</w:t>
      </w:r>
    </w:p>
    <w:p w:rsidR="00AD52F1" w:rsidRPr="00827E5C" w:rsidRDefault="00AD52F1" w:rsidP="007236B9">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4)</w:t>
      </w:r>
      <w:r w:rsidRPr="001017F5">
        <w:rPr>
          <w:rFonts w:ascii="Times New Roman" w:eastAsia="TimesNewRomanPSMT" w:hAnsi="Times New Roman"/>
          <w:sz w:val="24"/>
          <w:szCs w:val="24"/>
        </w:rPr>
        <w:t xml:space="preserve"> Lietuvos baudžiamojo įstatymo nuostatos yra suderintos su</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Tarybos pamatiniu sprendimu 2004/757/TVR (2004 m. spalio 25 d.), nustatančiu būtiniausias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nuostatas dėl nusikalstamų veikų sudėties požymių ir bausmių neteisėtos prekybos narkotikais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srityje (toliau </w:t>
      </w:r>
      <w:r>
        <w:rPr>
          <w:rFonts w:ascii="Times New Roman" w:eastAsia="TimesNewRomanPSMT" w:hAnsi="Times New Roman"/>
          <w:sz w:val="24"/>
          <w:szCs w:val="24"/>
        </w:rPr>
        <w:t>–</w:t>
      </w:r>
      <w:r w:rsidRPr="001017F5">
        <w:rPr>
          <w:rFonts w:ascii="Times New Roman" w:eastAsia="TimesNewRomanPSMT" w:hAnsi="Times New Roman"/>
          <w:sz w:val="24"/>
          <w:szCs w:val="24"/>
        </w:rPr>
        <w:t xml:space="preserve"> Pamatinis sprendimas). Pamatinio sprendimo 4 straipsnio 1 dalyje nurodyta, kad</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kiekviena valstybė narė imasi reikalingų priemonių, siekdama užtikrinti, kad už 2 ir 3 straipsniuose</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apibrėžtus nusikaltimus būtų baudžiama veiksmingomis, proporcingomis ir atgrasančiomis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bausmėmis. Kai nusikaltimas susijęs su dideliais narkotikų kiekiais ar nusikaltimas susijęs su tais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narkotikais, kurie daro didžiausią žalą sveikatai, arba padaryta didelė žala ne vieno asmens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sveikatai, kiekviena valstybė narė įpareigojama imtis reikalingų priemonių, kad užtikrintų, jog už</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konkrečius Pamatiniame sprendime nurodytus nusikaltimus būtų baudžiama įkalinimo bausmėmis,</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kurių ilgiausias laikas ne mažiau kaip 5</w:t>
      </w:r>
      <w:r>
        <w:rPr>
          <w:rFonts w:ascii="Times New Roman" w:eastAsia="TimesNewRomanPSMT" w:hAnsi="Times New Roman"/>
          <w:sz w:val="24"/>
          <w:szCs w:val="24"/>
        </w:rPr>
        <w:t xml:space="preserve">–10 metų. </w:t>
      </w:r>
      <w:r w:rsidRPr="001017F5">
        <w:rPr>
          <w:rFonts w:ascii="Times New Roman" w:eastAsia="TimesNewRomanPSMT" w:hAnsi="Times New Roman"/>
          <w:sz w:val="24"/>
          <w:szCs w:val="24"/>
        </w:rPr>
        <w:t>Be to, Pamatinio sprendimo</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4 straipsnio 3 dalyje nurodyta, kad kiekviena valstybė narė imasi reikalingų priemonių, kad</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užtikrintų, jog už 2 dalyje nurodytus nusikaltimus (Nusikaltimai, susiję su neteisėta prekyba</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 xml:space="preserve">narkotikais ir </w:t>
      </w:r>
      <w:proofErr w:type="spellStart"/>
      <w:r w:rsidRPr="001017F5">
        <w:rPr>
          <w:rFonts w:ascii="Times New Roman" w:eastAsia="TimesNewRomanPSMT" w:hAnsi="Times New Roman"/>
          <w:sz w:val="24"/>
          <w:szCs w:val="24"/>
        </w:rPr>
        <w:t>prekursoriais</w:t>
      </w:r>
      <w:proofErr w:type="spellEnd"/>
      <w:r w:rsidRPr="001017F5">
        <w:rPr>
          <w:rFonts w:ascii="Times New Roman" w:eastAsia="TimesNewRomanPSMT" w:hAnsi="Times New Roman"/>
          <w:sz w:val="24"/>
          <w:szCs w:val="24"/>
        </w:rPr>
        <w:t>) būtų baudžiama laisvės atėmimo bausmėmis, kurių ilgiausias laikas ne</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mažiau kaip 10 metų, kai nusikaltimas yra padarytas nusikalstamo susivienijimo, kaip apibrėžta</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1998 m. gruodžio 21 d. Bendruosiuose veiksmuose 98/733/TVR, prilyginančiuose dalyvavimą</w:t>
      </w:r>
      <w:r>
        <w:rPr>
          <w:rFonts w:ascii="Times New Roman" w:eastAsia="TimesNewRomanPSMT" w:hAnsi="Times New Roman"/>
          <w:sz w:val="24"/>
          <w:szCs w:val="24"/>
        </w:rPr>
        <w:t xml:space="preserve"> </w:t>
      </w:r>
      <w:r w:rsidRPr="001017F5">
        <w:rPr>
          <w:rFonts w:ascii="Times New Roman" w:eastAsia="TimesNewRomanPSMT" w:hAnsi="Times New Roman"/>
          <w:sz w:val="24"/>
          <w:szCs w:val="24"/>
        </w:rPr>
        <w:t>nusikals</w:t>
      </w:r>
      <w:bookmarkStart w:id="0" w:name="_GoBack"/>
      <w:bookmarkEnd w:id="0"/>
      <w:r w:rsidRPr="001017F5">
        <w:rPr>
          <w:rFonts w:ascii="Times New Roman" w:eastAsia="TimesNewRomanPSMT" w:hAnsi="Times New Roman"/>
          <w:sz w:val="24"/>
          <w:szCs w:val="24"/>
        </w:rPr>
        <w:t xml:space="preserve">tamoje organizacijoje Europos Sąjungos </w:t>
      </w:r>
      <w:r w:rsidRPr="00827E5C">
        <w:rPr>
          <w:rFonts w:ascii="Times New Roman" w:eastAsia="TimesNewRomanPSMT" w:hAnsi="Times New Roman"/>
          <w:sz w:val="24"/>
          <w:szCs w:val="24"/>
        </w:rPr>
        <w:t>valstybėse narėse baudžiamajam nusikaltimui. Įvertinus tai, kad nusikaltimų, susijusių su dideliu narkotikų kiekiu, atveju numatyta laisvės atėmimo bausmė turi būti ne mažesnė kaip 5–10 metų, už nusikaltimus, susijusius su labai dideliu narkotikų kiekiu, laisvės atėmimo bausmė numatyta atitinkamai griežtesnė.</w:t>
      </w:r>
    </w:p>
    <w:p w:rsidR="007236B9" w:rsidRDefault="001204A9" w:rsidP="007236B9">
      <w:pPr>
        <w:spacing w:after="0" w:line="360" w:lineRule="auto"/>
        <w:ind w:firstLine="720"/>
        <w:jc w:val="both"/>
        <w:rPr>
          <w:rFonts w:ascii="Times New Roman" w:hAnsi="Times New Roman"/>
          <w:sz w:val="24"/>
          <w:szCs w:val="24"/>
        </w:rPr>
      </w:pPr>
      <w:r>
        <w:rPr>
          <w:rFonts w:ascii="Times New Roman" w:hAnsi="Times New Roman" w:cs="Times New Roman"/>
          <w:sz w:val="24"/>
          <w:szCs w:val="24"/>
        </w:rPr>
        <w:t>Trečiuoju klausimu Komisija</w:t>
      </w:r>
      <w:r w:rsidR="007236B9">
        <w:rPr>
          <w:rFonts w:ascii="Times New Roman" w:hAnsi="Times New Roman" w:cs="Times New Roman"/>
          <w:sz w:val="24"/>
          <w:szCs w:val="24"/>
        </w:rPr>
        <w:t>,</w:t>
      </w:r>
      <w:r w:rsidR="007236B9" w:rsidRPr="007236B9">
        <w:rPr>
          <w:rFonts w:ascii="Times New Roman" w:hAnsi="Times New Roman"/>
          <w:sz w:val="24"/>
          <w:szCs w:val="24"/>
        </w:rPr>
        <w:t xml:space="preserve"> </w:t>
      </w:r>
      <w:r w:rsidR="007236B9">
        <w:rPr>
          <w:rFonts w:ascii="Times New Roman" w:hAnsi="Times New Roman"/>
          <w:sz w:val="24"/>
          <w:szCs w:val="24"/>
        </w:rPr>
        <w:t xml:space="preserve">vadovaudamasi Peticijų įstatymo 10 straipsnio 2 dalimi ir Komisijos nuostatų 32 punktu, priėmė sprendimą laikyti, kad Gintauto </w:t>
      </w:r>
      <w:proofErr w:type="spellStart"/>
      <w:r w:rsidR="007236B9">
        <w:rPr>
          <w:rFonts w:ascii="Times New Roman" w:hAnsi="Times New Roman"/>
          <w:sz w:val="24"/>
          <w:szCs w:val="24"/>
        </w:rPr>
        <w:t>Narkūno</w:t>
      </w:r>
      <w:proofErr w:type="spellEnd"/>
      <w:r w:rsidR="007236B9">
        <w:rPr>
          <w:rFonts w:ascii="Times New Roman" w:hAnsi="Times New Roman"/>
          <w:sz w:val="24"/>
          <w:szCs w:val="24"/>
        </w:rPr>
        <w:t xml:space="preserve"> skundas dėl Komisijos šių metų rugsėjo 24 d. sprendimo nepripažinti peticija jo kreipimosi </w:t>
      </w:r>
      <w:r w:rsidR="007236B9" w:rsidRPr="00225319">
        <w:rPr>
          <w:rFonts w:ascii="Times New Roman" w:hAnsi="Times New Roman"/>
          <w:sz w:val="24"/>
          <w:szCs w:val="24"/>
        </w:rPr>
        <w:t>„Dėl Lietuvos Respublikos baudžiamojo kodekso pakeitimo“</w:t>
      </w:r>
      <w:r w:rsidR="007236B9">
        <w:rPr>
          <w:rFonts w:ascii="Times New Roman" w:hAnsi="Times New Roman"/>
          <w:sz w:val="24"/>
          <w:szCs w:val="24"/>
        </w:rPr>
        <w:t xml:space="preserve"> yra nepaduotas.</w:t>
      </w:r>
    </w:p>
    <w:p w:rsidR="007236B9" w:rsidRDefault="007236B9" w:rsidP="007236B9">
      <w:pPr>
        <w:tabs>
          <w:tab w:val="left" w:pos="3969"/>
        </w:tabs>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lastRenderedPageBreak/>
        <w:t>Lietuvos Respublikos Konstitucijos laiduojamos peticijos teisės</w:t>
      </w:r>
      <w:r>
        <w:rPr>
          <w:rFonts w:ascii="Times New Roman" w:hAnsi="Times New Roman"/>
          <w:b/>
          <w:sz w:val="24"/>
          <w:szCs w:val="24"/>
        </w:rPr>
        <w:t xml:space="preserve"> </w:t>
      </w:r>
      <w:r>
        <w:rPr>
          <w:rFonts w:ascii="Times New Roman" w:hAnsi="Times New Roman"/>
          <w:sz w:val="24"/>
          <w:szCs w:val="24"/>
        </w:rPr>
        <w:t xml:space="preserve">įgyvendinimo tvarką nustato specialus Peticijų įstatymas. </w:t>
      </w:r>
    </w:p>
    <w:p w:rsidR="007236B9" w:rsidRDefault="007236B9" w:rsidP="007236B9">
      <w:pPr>
        <w:pStyle w:val="Pagrindinistekstas1"/>
        <w:spacing w:line="360" w:lineRule="auto"/>
        <w:ind w:firstLine="720"/>
        <w:rPr>
          <w:rFonts w:ascii="Times New Roman" w:hAnsi="Times New Roman"/>
          <w:sz w:val="24"/>
          <w:szCs w:val="24"/>
          <w:lang w:val="lt-LT"/>
        </w:rPr>
      </w:pPr>
      <w:r w:rsidRPr="007236B9">
        <w:rPr>
          <w:rFonts w:ascii="Times New Roman" w:hAnsi="Times New Roman"/>
          <w:sz w:val="24"/>
          <w:szCs w:val="24"/>
          <w:lang w:val="lt-LT"/>
        </w:rPr>
        <w:t>Šiame įstatyme yra nustatyti visi</w:t>
      </w:r>
      <w:r>
        <w:rPr>
          <w:rFonts w:ascii="Times New Roman" w:hAnsi="Times New Roman"/>
          <w:sz w:val="24"/>
          <w:szCs w:val="24"/>
          <w:lang w:val="lt-LT"/>
        </w:rPr>
        <w:t xml:space="preserve"> svarbiausi peticijos teisės įgyvendinimo tvarkos elementai, būtent: dėl ko galima kreiptis su peticija, kurioms viešosios valdžios institucijoms gali būti paduodama peticija, formalūs reikalavimai, kuriuos turi atitikti peticija, peticijos padavimo tvarka, taip pat ir Komisijos bei Seimo sprendimų apskundimo tvarka.</w:t>
      </w:r>
    </w:p>
    <w:p w:rsidR="007236B9" w:rsidRPr="00102366" w:rsidRDefault="007236B9" w:rsidP="007236B9">
      <w:pPr>
        <w:spacing w:after="0" w:line="360" w:lineRule="auto"/>
        <w:ind w:firstLine="720"/>
        <w:jc w:val="both"/>
        <w:rPr>
          <w:rStyle w:val="Typewriter"/>
          <w:rFonts w:ascii="Times New Roman" w:hAnsi="Times New Roman"/>
          <w:sz w:val="24"/>
          <w:szCs w:val="24"/>
        </w:rPr>
      </w:pPr>
      <w:r w:rsidRPr="00102366">
        <w:rPr>
          <w:rFonts w:ascii="Times New Roman" w:hAnsi="Times New Roman"/>
          <w:sz w:val="24"/>
          <w:szCs w:val="24"/>
        </w:rPr>
        <w:t xml:space="preserve">Peticijų įstatymo 10 straipsnio </w:t>
      </w:r>
      <w:r>
        <w:rPr>
          <w:rFonts w:ascii="Times New Roman" w:hAnsi="Times New Roman"/>
          <w:sz w:val="24"/>
          <w:szCs w:val="24"/>
        </w:rPr>
        <w:t>1 ir 2 dalys</w:t>
      </w:r>
      <w:r w:rsidRPr="00102366">
        <w:rPr>
          <w:rFonts w:ascii="Times New Roman" w:hAnsi="Times New Roman"/>
          <w:sz w:val="24"/>
          <w:szCs w:val="24"/>
        </w:rPr>
        <w:t xml:space="preserve">e yra nustatyta, kad </w:t>
      </w:r>
      <w:r>
        <w:rPr>
          <w:rStyle w:val="Typewriter"/>
          <w:rFonts w:ascii="Times New Roman" w:hAnsi="Times New Roman"/>
          <w:sz w:val="24"/>
          <w:szCs w:val="24"/>
        </w:rPr>
        <w:t>p</w:t>
      </w:r>
      <w:r w:rsidRPr="00102366">
        <w:rPr>
          <w:rStyle w:val="Typewriter"/>
          <w:rFonts w:ascii="Times New Roman" w:hAnsi="Times New Roman"/>
          <w:sz w:val="24"/>
          <w:szCs w:val="24"/>
        </w:rPr>
        <w:t xml:space="preserve">areiškėjas ne vėliau kaip per 1 mėnesį nuo pranešimo apie sprendimą nepripažinti kreipimosi peticija ar atsisakyti priimti peticiją nagrinėti gavimo dienos gali apskųsti </w:t>
      </w:r>
      <w:r>
        <w:rPr>
          <w:rStyle w:val="Typewriter"/>
          <w:rFonts w:ascii="Times New Roman" w:hAnsi="Times New Roman"/>
          <w:sz w:val="24"/>
          <w:szCs w:val="24"/>
        </w:rPr>
        <w:t>Seimui</w:t>
      </w:r>
      <w:r w:rsidRPr="00102366">
        <w:rPr>
          <w:rStyle w:val="Typewriter"/>
          <w:rFonts w:ascii="Times New Roman" w:hAnsi="Times New Roman"/>
          <w:sz w:val="24"/>
          <w:szCs w:val="24"/>
        </w:rPr>
        <w:t xml:space="preserve"> </w:t>
      </w:r>
      <w:r>
        <w:rPr>
          <w:rStyle w:val="Typewriter"/>
          <w:rFonts w:ascii="Times New Roman" w:hAnsi="Times New Roman"/>
          <w:sz w:val="24"/>
          <w:szCs w:val="24"/>
        </w:rPr>
        <w:t xml:space="preserve">Komisijos sprendimą, tačiau </w:t>
      </w:r>
      <w:r w:rsidRPr="00102366">
        <w:rPr>
          <w:rFonts w:ascii="Times New Roman" w:hAnsi="Times New Roman"/>
          <w:sz w:val="24"/>
          <w:szCs w:val="24"/>
        </w:rPr>
        <w:t>s</w:t>
      </w:r>
      <w:r w:rsidRPr="00102366">
        <w:rPr>
          <w:rStyle w:val="Typewriter"/>
          <w:rFonts w:ascii="Times New Roman" w:hAnsi="Times New Roman"/>
          <w:sz w:val="24"/>
          <w:szCs w:val="24"/>
        </w:rPr>
        <w:t>kunde turi būti nurodytos aplinkybės, pagrindžiančios Komisijos sprendimo neteisėtumą ar</w:t>
      </w:r>
      <w:r w:rsidRPr="00102366">
        <w:rPr>
          <w:rStyle w:val="Typewriter"/>
          <w:rFonts w:ascii="Times New Roman" w:hAnsi="Times New Roman"/>
          <w:b/>
          <w:sz w:val="24"/>
          <w:szCs w:val="24"/>
        </w:rPr>
        <w:t xml:space="preserve"> </w:t>
      </w:r>
      <w:r w:rsidRPr="00102366">
        <w:rPr>
          <w:rStyle w:val="Typewriter"/>
          <w:rFonts w:ascii="Times New Roman" w:hAnsi="Times New Roman"/>
          <w:sz w:val="24"/>
          <w:szCs w:val="24"/>
        </w:rPr>
        <w:t>nepagrįstumą.</w:t>
      </w:r>
    </w:p>
    <w:p w:rsidR="007236B9" w:rsidRDefault="007236B9" w:rsidP="007236B9">
      <w:pPr>
        <w:spacing w:after="0" w:line="360" w:lineRule="auto"/>
        <w:ind w:firstLine="720"/>
        <w:jc w:val="both"/>
        <w:rPr>
          <w:rStyle w:val="Typewriter"/>
          <w:rFonts w:ascii="Times New Roman" w:hAnsi="Times New Roman"/>
          <w:sz w:val="24"/>
          <w:szCs w:val="24"/>
        </w:rPr>
      </w:pPr>
      <w:r>
        <w:rPr>
          <w:rStyle w:val="Typewriter"/>
          <w:rFonts w:ascii="Times New Roman" w:hAnsi="Times New Roman"/>
          <w:sz w:val="24"/>
          <w:szCs w:val="24"/>
        </w:rPr>
        <w:t>Komisijos nuostatų 32 punkte yra nustatyta, kad „</w:t>
      </w:r>
      <w:r w:rsidRPr="00E3129C">
        <w:rPr>
          <w:rFonts w:ascii="Times New Roman" w:hAnsi="Times New Roman"/>
          <w:sz w:val="24"/>
          <w:szCs w:val="24"/>
        </w:rPr>
        <w:t>Seimui adresuotas skundas perduodamas Komisijos pirmininkui, kuris artimiausiame Komisijos posėdyje supažindina Komisijos narius su skundu. Komisija nusprendžia, ar skundas atitinka Peticijų įstatymo 10 straipsnio 2 dalyje nustatytus reikalavimus skundui. Jeigu skundas neatitinka Peticijų įstatymo 10 straipsnio 2 dalyje nustatytų reikalavimų, Komisija nustato terminą trūkumams pašalinti ir praneša apie tai pareiškėjui ar jo atstovui. Pareiškėjui ar jo atstovui per nustatytą terminą neištaisius trūkumų, laikoma, kad skundas yra nepaduotas</w:t>
      </w:r>
      <w:r>
        <w:rPr>
          <w:rFonts w:ascii="Times New Roman" w:hAnsi="Times New Roman"/>
          <w:sz w:val="24"/>
          <w:szCs w:val="24"/>
        </w:rPr>
        <w:t>.“</w:t>
      </w:r>
    </w:p>
    <w:p w:rsidR="007236B9" w:rsidRDefault="007236B9" w:rsidP="007236B9">
      <w:pPr>
        <w:spacing w:after="0" w:line="360" w:lineRule="auto"/>
        <w:ind w:firstLine="720"/>
        <w:jc w:val="both"/>
        <w:rPr>
          <w:rFonts w:ascii="Times New Roman" w:hAnsi="Times New Roman"/>
          <w:sz w:val="24"/>
          <w:szCs w:val="24"/>
        </w:rPr>
      </w:pPr>
      <w:r>
        <w:rPr>
          <w:rFonts w:ascii="Times New Roman" w:hAnsi="Times New Roman"/>
          <w:sz w:val="24"/>
          <w:szCs w:val="24"/>
        </w:rPr>
        <w:t xml:space="preserve">Komisija 2014 m. rugsėjo 26 d. raštu Nr. 6922 informavo pareiškėją, kad šių metų rugsėjo 24 d. Komisija, vadovaudamasi Peticijų įstatymo 9 straipsnio 3 dalies 5 punktu, priėmė sprendimą jo kreipimosi </w:t>
      </w:r>
      <w:r w:rsidRPr="00225319">
        <w:rPr>
          <w:rFonts w:ascii="Times New Roman" w:hAnsi="Times New Roman"/>
          <w:sz w:val="24"/>
          <w:szCs w:val="24"/>
        </w:rPr>
        <w:t>„Dėl Lietuvos Respublikos baudžiamojo kodekso pakeitimo“</w:t>
      </w:r>
      <w:r>
        <w:rPr>
          <w:rFonts w:ascii="Times New Roman" w:hAnsi="Times New Roman"/>
          <w:sz w:val="24"/>
          <w:szCs w:val="24"/>
        </w:rPr>
        <w:t xml:space="preserve"> nepripažinti peticija, nes Peticijų įstatymo 9 straipsnio 3 dalies 5 punkte yra nustatyta, kad kreipimasis nepripažįstamas peticija, jei </w:t>
      </w:r>
      <w:r w:rsidRPr="002D3915">
        <w:rPr>
          <w:rStyle w:val="Typewriter"/>
          <w:rFonts w:ascii="Times New Roman" w:hAnsi="Times New Roman"/>
          <w:sz w:val="24"/>
          <w:szCs w:val="24"/>
        </w:rPr>
        <w:t>peticijų komisija per kalendorinius metus dėl tų pačių reikalavimų ir siūlymų, išdėstytų kreipim</w:t>
      </w:r>
      <w:r>
        <w:rPr>
          <w:rStyle w:val="Typewriter"/>
          <w:rFonts w:ascii="Times New Roman" w:hAnsi="Times New Roman"/>
          <w:sz w:val="24"/>
          <w:szCs w:val="24"/>
        </w:rPr>
        <w:t>esi, jau yra priėmusi sprendimą: š</w:t>
      </w:r>
      <w:r>
        <w:rPr>
          <w:rFonts w:ascii="Times New Roman" w:hAnsi="Times New Roman"/>
          <w:sz w:val="24"/>
          <w:szCs w:val="24"/>
        </w:rPr>
        <w:t xml:space="preserve">ių metų balandžio 16 d. Komisija atmetė Rolando Čiapo peticijoje pateiktą pasiūlymą „pakeisti Lietuvos Respublikos baudžiamąjį kodeksą taip, kad </w:t>
      </w:r>
      <w:r>
        <w:rPr>
          <w:rFonts w:ascii="Times New Roman" w:hAnsi="Times New Roman"/>
          <w:color w:val="000000"/>
          <w:sz w:val="24"/>
          <w:szCs w:val="24"/>
        </w:rPr>
        <w:t>viena kardomojo kalinimo (suėmimo) diena būtų prilyginta dviem laisvės atėmimo dienoms.</w:t>
      </w:r>
      <w:r>
        <w:rPr>
          <w:rFonts w:ascii="Times New Roman" w:hAnsi="Times New Roman"/>
          <w:sz w:val="24"/>
          <w:szCs w:val="24"/>
        </w:rPr>
        <w:t xml:space="preserve"> </w:t>
      </w:r>
      <w:r w:rsidRPr="00745B98">
        <w:rPr>
          <w:rFonts w:ascii="Times New Roman" w:hAnsi="Times New Roman"/>
          <w:sz w:val="24"/>
          <w:szCs w:val="24"/>
        </w:rPr>
        <w:t xml:space="preserve">Seimas </w:t>
      </w:r>
      <w:r>
        <w:rPr>
          <w:rFonts w:ascii="Times New Roman" w:hAnsi="Times New Roman"/>
          <w:sz w:val="24"/>
          <w:szCs w:val="24"/>
        </w:rPr>
        <w:t xml:space="preserve">pritarė Komisijos išvadai ir balandžio </w:t>
      </w:r>
      <w:r w:rsidRPr="00745B98">
        <w:rPr>
          <w:rFonts w:ascii="Times New Roman" w:hAnsi="Times New Roman"/>
          <w:sz w:val="24"/>
          <w:szCs w:val="24"/>
        </w:rPr>
        <w:t xml:space="preserve">24 </w:t>
      </w:r>
      <w:r>
        <w:rPr>
          <w:rFonts w:ascii="Times New Roman" w:hAnsi="Times New Roman"/>
          <w:sz w:val="24"/>
          <w:szCs w:val="24"/>
        </w:rPr>
        <w:t xml:space="preserve">d. </w:t>
      </w:r>
      <w:r w:rsidRPr="00745B98">
        <w:rPr>
          <w:rFonts w:ascii="Times New Roman" w:hAnsi="Times New Roman"/>
          <w:sz w:val="24"/>
          <w:szCs w:val="24"/>
        </w:rPr>
        <w:t xml:space="preserve">priėmė Seimo protokolinį nutarimą atmesti </w:t>
      </w:r>
      <w:r>
        <w:rPr>
          <w:rFonts w:ascii="Times New Roman" w:hAnsi="Times New Roman"/>
          <w:sz w:val="24"/>
          <w:szCs w:val="24"/>
        </w:rPr>
        <w:t>šį</w:t>
      </w:r>
      <w:r w:rsidRPr="00745B98">
        <w:rPr>
          <w:rFonts w:ascii="Times New Roman" w:hAnsi="Times New Roman"/>
          <w:sz w:val="24"/>
          <w:szCs w:val="24"/>
        </w:rPr>
        <w:t xml:space="preserve"> pasiūlymą.</w:t>
      </w:r>
      <w:r>
        <w:rPr>
          <w:rFonts w:ascii="Times New Roman" w:hAnsi="Times New Roman"/>
          <w:sz w:val="24"/>
          <w:szCs w:val="24"/>
        </w:rPr>
        <w:t xml:space="preserve"> </w:t>
      </w:r>
      <w:r w:rsidRPr="00745B98">
        <w:rPr>
          <w:rFonts w:ascii="Times New Roman" w:hAnsi="Times New Roman"/>
          <w:sz w:val="24"/>
          <w:szCs w:val="24"/>
        </w:rPr>
        <w:t>Šis Seimo sprendimas yra galutinis ir neskundžiamas.</w:t>
      </w:r>
    </w:p>
    <w:p w:rsidR="007236B9" w:rsidRDefault="007236B9" w:rsidP="007236B9">
      <w:pPr>
        <w:spacing w:after="0" w:line="360" w:lineRule="auto"/>
        <w:ind w:firstLine="720"/>
        <w:jc w:val="both"/>
        <w:rPr>
          <w:rFonts w:ascii="Times New Roman" w:hAnsi="Times New Roman"/>
          <w:color w:val="000000"/>
          <w:sz w:val="24"/>
          <w:szCs w:val="24"/>
        </w:rPr>
      </w:pPr>
      <w:r>
        <w:rPr>
          <w:rFonts w:ascii="Times New Roman" w:hAnsi="Times New Roman"/>
          <w:sz w:val="24"/>
          <w:szCs w:val="24"/>
        </w:rPr>
        <w:t xml:space="preserve">Taigi Komisija 2014 metais jau yra priėmusi sprendimą dėl tokio paties siūlymo, kokį pareiškėjas pateikė savo kreipimesi – pakeisti Lietuvos Respublikos baudžiamąjį kodeksą taip, kad </w:t>
      </w:r>
      <w:r>
        <w:rPr>
          <w:rFonts w:ascii="Times New Roman" w:hAnsi="Times New Roman"/>
          <w:color w:val="000000"/>
          <w:sz w:val="24"/>
          <w:szCs w:val="24"/>
        </w:rPr>
        <w:t>viena kardomojo kalinimo (suėmimo) diena būtų prilyginta dviem laisvės atėmimo dienoms.</w:t>
      </w:r>
    </w:p>
    <w:p w:rsidR="007236B9" w:rsidRDefault="007236B9" w:rsidP="007236B9">
      <w:pPr>
        <w:spacing w:after="0" w:line="360" w:lineRule="auto"/>
        <w:ind w:firstLine="720"/>
        <w:jc w:val="both"/>
        <w:rPr>
          <w:rFonts w:ascii="Times New Roman" w:hAnsi="Times New Roman"/>
          <w:sz w:val="24"/>
          <w:szCs w:val="24"/>
        </w:rPr>
      </w:pPr>
      <w:r>
        <w:rPr>
          <w:rFonts w:ascii="Times New Roman" w:hAnsi="Times New Roman"/>
          <w:color w:val="000000"/>
          <w:sz w:val="24"/>
          <w:szCs w:val="24"/>
        </w:rPr>
        <w:lastRenderedPageBreak/>
        <w:t>Atsižvelgiant į tai, pareiškėjas savo skunde turėjo nurodyti, kodėl šis Komisijos sprendimas nepripažinti jo kreipimosi peticija yra neteisėtas ir nepagrįstas. Tačiau jo Seimui adresuotame skunde buvo nurodytos aplinkybės, kurios yra deklaratyvios ir nepagrįstos:</w:t>
      </w:r>
      <w:r w:rsidRPr="00D376C0">
        <w:rPr>
          <w:rFonts w:ascii="Times New Roman" w:hAnsi="Times New Roman"/>
          <w:sz w:val="24"/>
          <w:szCs w:val="24"/>
        </w:rPr>
        <w:t xml:space="preserve"> </w:t>
      </w:r>
      <w:r>
        <w:rPr>
          <w:rFonts w:ascii="Times New Roman" w:hAnsi="Times New Roman"/>
          <w:sz w:val="24"/>
          <w:szCs w:val="24"/>
        </w:rPr>
        <w:t xml:space="preserve">pareiškėjas rašė, kad „Komisija dirba nekompetentingai, o gal būt ir korumpuoti Seimo nariai su pirmininku Petru </w:t>
      </w:r>
      <w:proofErr w:type="spellStart"/>
      <w:r>
        <w:rPr>
          <w:rFonts w:ascii="Times New Roman" w:hAnsi="Times New Roman"/>
          <w:sz w:val="24"/>
          <w:szCs w:val="24"/>
        </w:rPr>
        <w:t>Čimbaru</w:t>
      </w:r>
      <w:proofErr w:type="spellEnd"/>
      <w:r>
        <w:rPr>
          <w:rFonts w:ascii="Times New Roman" w:hAnsi="Times New Roman"/>
          <w:sz w:val="24"/>
          <w:szCs w:val="24"/>
        </w:rPr>
        <w:t>“, „todėl motyvuotai, pagrįstai ir teisėtai kreipiuosi į Jus dėl Komisijos nekompetentingumo“, tačiau nenurodė jokių argumentų, kodėl Komisija, nepripažindama jo kreipimosi peticija, neteisėtai ir nepagrįstai vadovavosi Peticijų įstatymo 9 straipsnio 3 dalies 5 punktu.</w:t>
      </w:r>
    </w:p>
    <w:p w:rsidR="007236B9" w:rsidRDefault="007236B9" w:rsidP="007236B9">
      <w:pPr>
        <w:spacing w:after="0" w:line="360" w:lineRule="auto"/>
        <w:ind w:firstLine="720"/>
        <w:jc w:val="both"/>
        <w:rPr>
          <w:rFonts w:ascii="Times New Roman" w:hAnsi="Times New Roman"/>
          <w:sz w:val="24"/>
          <w:szCs w:val="24"/>
        </w:rPr>
      </w:pPr>
      <w:r>
        <w:rPr>
          <w:rFonts w:ascii="Times New Roman" w:hAnsi="Times New Roman"/>
          <w:sz w:val="24"/>
          <w:szCs w:val="24"/>
        </w:rPr>
        <w:t>Atsižvelgus į tai ir vadovaujantis Peticijų įstatymo 10 straipsnio 2 dalimi, bei Komisijos nuostatų 32 punktu, Komisija šių metų spalio 15 d. priėmė sprendimą, kad pareiškėjas turi iki spalio 31 d. ištaisyti savo skundo trūkumus ir nurodyti aplinkybes, pagrindžiančias Komisijos sprendimo neteisėtumą ir nepagrįstumą.</w:t>
      </w:r>
      <w:r w:rsidRPr="00D376C0">
        <w:rPr>
          <w:rFonts w:ascii="Times New Roman" w:hAnsi="Times New Roman"/>
          <w:sz w:val="24"/>
          <w:szCs w:val="24"/>
        </w:rPr>
        <w:t xml:space="preserve"> </w:t>
      </w:r>
      <w:r>
        <w:rPr>
          <w:rFonts w:ascii="Times New Roman" w:hAnsi="Times New Roman"/>
          <w:sz w:val="24"/>
          <w:szCs w:val="24"/>
        </w:rPr>
        <w:t>P</w:t>
      </w:r>
      <w:r w:rsidRPr="00E3129C">
        <w:rPr>
          <w:rFonts w:ascii="Times New Roman" w:hAnsi="Times New Roman"/>
          <w:sz w:val="24"/>
          <w:szCs w:val="24"/>
        </w:rPr>
        <w:t>er nustatytą terminą</w:t>
      </w:r>
      <w:r>
        <w:rPr>
          <w:rFonts w:ascii="Times New Roman" w:hAnsi="Times New Roman"/>
          <w:sz w:val="24"/>
          <w:szCs w:val="24"/>
        </w:rPr>
        <w:t xml:space="preserve"> jam</w:t>
      </w:r>
      <w:r w:rsidRPr="00E3129C">
        <w:rPr>
          <w:rFonts w:ascii="Times New Roman" w:hAnsi="Times New Roman"/>
          <w:sz w:val="24"/>
          <w:szCs w:val="24"/>
        </w:rPr>
        <w:t xml:space="preserve"> neištaisius trūkumų, </w:t>
      </w:r>
      <w:r>
        <w:rPr>
          <w:rFonts w:ascii="Times New Roman" w:hAnsi="Times New Roman"/>
          <w:sz w:val="24"/>
          <w:szCs w:val="24"/>
        </w:rPr>
        <w:t xml:space="preserve">bus </w:t>
      </w:r>
      <w:r w:rsidRPr="00E3129C">
        <w:rPr>
          <w:rFonts w:ascii="Times New Roman" w:hAnsi="Times New Roman"/>
          <w:sz w:val="24"/>
          <w:szCs w:val="24"/>
        </w:rPr>
        <w:t>laiko</w:t>
      </w:r>
      <w:r>
        <w:rPr>
          <w:rFonts w:ascii="Times New Roman" w:hAnsi="Times New Roman"/>
          <w:sz w:val="24"/>
          <w:szCs w:val="24"/>
        </w:rPr>
        <w:t>ma, kad skundas yra nepaduotas.</w:t>
      </w:r>
    </w:p>
    <w:p w:rsidR="007236B9" w:rsidRDefault="007236B9" w:rsidP="007236B9">
      <w:pPr>
        <w:spacing w:after="0" w:line="360" w:lineRule="auto"/>
        <w:ind w:firstLine="720"/>
        <w:jc w:val="both"/>
        <w:rPr>
          <w:rFonts w:ascii="Times New Roman" w:hAnsi="Times New Roman"/>
          <w:sz w:val="24"/>
          <w:szCs w:val="24"/>
        </w:rPr>
      </w:pPr>
      <w:r>
        <w:rPr>
          <w:rFonts w:ascii="Times New Roman" w:hAnsi="Times New Roman"/>
          <w:sz w:val="24"/>
          <w:szCs w:val="24"/>
        </w:rPr>
        <w:t xml:space="preserve">Tačiau pareiškėjas vėl rašo, kad jis kali „ypatingai žiauriom sąlygom“, kad „Komisija neįvertino jo pateiktos medžiagos ir atmetė jo teisėtą ir pagrįstą reikalavimą užskaityti 1 kalinimo dieną už 2 dienas“, tačiau vėl nepateikė jokių pagrįstų argumentų, kad Komisijos sprendimas yra nepagrįstas ir neteisėtas dėl to, kad ji priėmė sprendimą nepripažinti peticija kreipimesi pateikto reikalavimo, vadovaujantis Peticijų įstatymo 9 straipsnio 3 dalies 5 punktu, kuriame teigiama, kad kreipimasis nepripažįstamas peticija, jei </w:t>
      </w:r>
      <w:r w:rsidRPr="002D3915">
        <w:rPr>
          <w:rStyle w:val="Typewriter"/>
          <w:rFonts w:ascii="Times New Roman" w:hAnsi="Times New Roman"/>
          <w:sz w:val="24"/>
          <w:szCs w:val="24"/>
        </w:rPr>
        <w:t>peticijų komisija per kalendorinius metus dėl tų pačių reikalavimų ir siūlymų, išdėstytų kreipim</w:t>
      </w:r>
      <w:r>
        <w:rPr>
          <w:rStyle w:val="Typewriter"/>
          <w:rFonts w:ascii="Times New Roman" w:hAnsi="Times New Roman"/>
          <w:sz w:val="24"/>
          <w:szCs w:val="24"/>
        </w:rPr>
        <w:t>esi, jau yra priėmusi sprendimą: š</w:t>
      </w:r>
      <w:r>
        <w:rPr>
          <w:rFonts w:ascii="Times New Roman" w:hAnsi="Times New Roman"/>
          <w:sz w:val="24"/>
          <w:szCs w:val="24"/>
        </w:rPr>
        <w:t xml:space="preserve">ių metų balandžio 16 d. Komisija atmetė Rolando Čiapo peticijoje pateiktą pasiūlymą „pakeisti Lietuvos Respublikos baudžiamąjį kodeksą taip, kad </w:t>
      </w:r>
      <w:r>
        <w:rPr>
          <w:rFonts w:ascii="Times New Roman" w:hAnsi="Times New Roman"/>
          <w:color w:val="000000"/>
          <w:sz w:val="24"/>
          <w:szCs w:val="24"/>
        </w:rPr>
        <w:t>viena kardomojo kalinimo (suėmimo) diena būtų prilyginta dviem laisvės atėmimo dienoms.</w:t>
      </w:r>
      <w:r>
        <w:rPr>
          <w:rFonts w:ascii="Times New Roman" w:hAnsi="Times New Roman"/>
          <w:sz w:val="24"/>
          <w:szCs w:val="24"/>
        </w:rPr>
        <w:t xml:space="preserve"> </w:t>
      </w:r>
      <w:r w:rsidRPr="00745B98">
        <w:rPr>
          <w:rFonts w:ascii="Times New Roman" w:hAnsi="Times New Roman"/>
          <w:sz w:val="24"/>
          <w:szCs w:val="24"/>
        </w:rPr>
        <w:t xml:space="preserve">Seimas </w:t>
      </w:r>
      <w:r>
        <w:rPr>
          <w:rFonts w:ascii="Times New Roman" w:hAnsi="Times New Roman"/>
          <w:sz w:val="24"/>
          <w:szCs w:val="24"/>
        </w:rPr>
        <w:t xml:space="preserve">pritarė Komisijos išvadai ir balandžio </w:t>
      </w:r>
      <w:r w:rsidRPr="00745B98">
        <w:rPr>
          <w:rFonts w:ascii="Times New Roman" w:hAnsi="Times New Roman"/>
          <w:sz w:val="24"/>
          <w:szCs w:val="24"/>
        </w:rPr>
        <w:t xml:space="preserve">24 </w:t>
      </w:r>
      <w:r>
        <w:rPr>
          <w:rFonts w:ascii="Times New Roman" w:hAnsi="Times New Roman"/>
          <w:sz w:val="24"/>
          <w:szCs w:val="24"/>
        </w:rPr>
        <w:t xml:space="preserve">d. </w:t>
      </w:r>
      <w:r w:rsidRPr="00745B98">
        <w:rPr>
          <w:rFonts w:ascii="Times New Roman" w:hAnsi="Times New Roman"/>
          <w:sz w:val="24"/>
          <w:szCs w:val="24"/>
        </w:rPr>
        <w:t xml:space="preserve">priėmė Seimo protokolinį nutarimą atmesti </w:t>
      </w:r>
      <w:r>
        <w:rPr>
          <w:rFonts w:ascii="Times New Roman" w:hAnsi="Times New Roman"/>
          <w:sz w:val="24"/>
          <w:szCs w:val="24"/>
        </w:rPr>
        <w:t>šį</w:t>
      </w:r>
      <w:r w:rsidRPr="00745B98">
        <w:rPr>
          <w:rFonts w:ascii="Times New Roman" w:hAnsi="Times New Roman"/>
          <w:sz w:val="24"/>
          <w:szCs w:val="24"/>
        </w:rPr>
        <w:t xml:space="preserve"> pasiūlymą.</w:t>
      </w:r>
      <w:r>
        <w:rPr>
          <w:rFonts w:ascii="Times New Roman" w:hAnsi="Times New Roman"/>
          <w:sz w:val="24"/>
          <w:szCs w:val="24"/>
        </w:rPr>
        <w:t xml:space="preserve"> </w:t>
      </w:r>
      <w:r w:rsidRPr="00745B98">
        <w:rPr>
          <w:rFonts w:ascii="Times New Roman" w:hAnsi="Times New Roman"/>
          <w:sz w:val="24"/>
          <w:szCs w:val="24"/>
        </w:rPr>
        <w:t>Šis Seimo sprendimas yra galutinis ir neskundžiamas.</w:t>
      </w:r>
    </w:p>
    <w:p w:rsidR="007236B9" w:rsidRDefault="007236B9" w:rsidP="007236B9">
      <w:pPr>
        <w:spacing w:after="0" w:line="360" w:lineRule="auto"/>
        <w:ind w:firstLine="720"/>
        <w:jc w:val="both"/>
        <w:rPr>
          <w:rFonts w:ascii="Times New Roman" w:hAnsi="Times New Roman"/>
          <w:sz w:val="24"/>
          <w:szCs w:val="24"/>
        </w:rPr>
      </w:pPr>
      <w:r>
        <w:rPr>
          <w:rFonts w:ascii="Times New Roman" w:hAnsi="Times New Roman"/>
          <w:sz w:val="24"/>
          <w:szCs w:val="24"/>
        </w:rPr>
        <w:t>Taigi Komisija nepripažino peticija pareiškėjo kreipimosi tik todėl, kad Komisija šiais metais jau yra priėmusi sprendimą nepripažinti peticija tokio pat kaip pareiškėjo reikalavimo.</w:t>
      </w:r>
    </w:p>
    <w:p w:rsidR="007236B9" w:rsidRDefault="007236B9" w:rsidP="007236B9">
      <w:pPr>
        <w:spacing w:after="0" w:line="360" w:lineRule="auto"/>
        <w:ind w:firstLine="720"/>
        <w:jc w:val="both"/>
        <w:rPr>
          <w:rFonts w:ascii="Times New Roman" w:hAnsi="Times New Roman"/>
          <w:sz w:val="24"/>
          <w:szCs w:val="24"/>
        </w:rPr>
      </w:pPr>
      <w:r>
        <w:rPr>
          <w:rFonts w:ascii="Times New Roman" w:hAnsi="Times New Roman"/>
          <w:sz w:val="24"/>
          <w:szCs w:val="24"/>
        </w:rPr>
        <w:t>Atsižvelgus į tai ir vadovaujantis</w:t>
      </w:r>
      <w:r w:rsidRPr="00CA32A3">
        <w:rPr>
          <w:rFonts w:ascii="Times New Roman" w:hAnsi="Times New Roman"/>
          <w:sz w:val="24"/>
          <w:szCs w:val="24"/>
        </w:rPr>
        <w:t xml:space="preserve"> </w:t>
      </w:r>
      <w:r>
        <w:rPr>
          <w:rFonts w:ascii="Times New Roman" w:hAnsi="Times New Roman"/>
          <w:sz w:val="24"/>
          <w:szCs w:val="24"/>
        </w:rPr>
        <w:t xml:space="preserve">Peticijų įstatymo 10 straipsnio 2 dalimi ir Komisijos nuostatų 32 punktu, yra laikoma, kad pareiškėjo skundas dėl Komisijos sprendimo nepripažinti peticija jo kreipimosi </w:t>
      </w:r>
      <w:r w:rsidRPr="00225319">
        <w:rPr>
          <w:rFonts w:ascii="Times New Roman" w:hAnsi="Times New Roman"/>
          <w:sz w:val="24"/>
          <w:szCs w:val="24"/>
        </w:rPr>
        <w:t>„Dėl Lietuvos Respublikos baudžiamojo kodekso pakeitimo“</w:t>
      </w:r>
      <w:r>
        <w:rPr>
          <w:rFonts w:ascii="Times New Roman" w:hAnsi="Times New Roman"/>
          <w:sz w:val="24"/>
          <w:szCs w:val="24"/>
        </w:rPr>
        <w:t xml:space="preserve"> yra nepaduotas.</w:t>
      </w:r>
    </w:p>
    <w:p w:rsidR="00AD0585" w:rsidRDefault="00AD0585" w:rsidP="007236B9">
      <w:pPr>
        <w:spacing w:after="0" w:line="360" w:lineRule="auto"/>
        <w:ind w:firstLine="709"/>
        <w:rPr>
          <w:rFonts w:ascii="Times New Roman" w:hAnsi="Times New Roman" w:cs="Times New Roman"/>
          <w:sz w:val="24"/>
          <w:szCs w:val="24"/>
        </w:rPr>
      </w:pPr>
    </w:p>
    <w:p w:rsidR="00FF4FC5" w:rsidRPr="00FF4FC5" w:rsidRDefault="00FF4FC5" w:rsidP="00FF4FC5">
      <w:pPr>
        <w:spacing w:line="360" w:lineRule="auto"/>
        <w:jc w:val="both"/>
        <w:rPr>
          <w:rFonts w:ascii="Times New Roman" w:hAnsi="Times New Roman"/>
          <w:sz w:val="24"/>
        </w:rPr>
      </w:pPr>
      <w:r>
        <w:rPr>
          <w:rFonts w:ascii="Times New Roman" w:hAnsi="Times New Roman"/>
          <w:sz w:val="24"/>
          <w:szCs w:val="24"/>
        </w:rPr>
        <w:t xml:space="preserve">Komisijų biuro patarėja Janina </w:t>
      </w:r>
      <w:proofErr w:type="spellStart"/>
      <w:r>
        <w:rPr>
          <w:rFonts w:ascii="Times New Roman" w:hAnsi="Times New Roman"/>
          <w:sz w:val="24"/>
          <w:szCs w:val="24"/>
        </w:rPr>
        <w:t>Šniaukštienė</w:t>
      </w:r>
      <w:proofErr w:type="spellEnd"/>
      <w:r>
        <w:rPr>
          <w:rFonts w:ascii="Times New Roman" w:hAnsi="Times New Roman"/>
          <w:sz w:val="24"/>
          <w:szCs w:val="24"/>
        </w:rPr>
        <w:t xml:space="preserve">, tel. </w:t>
      </w:r>
      <w:r w:rsidRPr="00AF1C8B">
        <w:rPr>
          <w:rFonts w:ascii="Times New Roman" w:hAnsi="Times New Roman"/>
          <w:sz w:val="24"/>
          <w:szCs w:val="24"/>
        </w:rPr>
        <w:t>(8 5) 239 6819,</w:t>
      </w:r>
      <w:r>
        <w:rPr>
          <w:rFonts w:ascii="Times New Roman" w:hAnsi="Times New Roman"/>
          <w:sz w:val="24"/>
          <w:szCs w:val="24"/>
        </w:rPr>
        <w:t xml:space="preserve"> </w:t>
      </w:r>
      <w:r w:rsidRPr="00AF1C8B">
        <w:rPr>
          <w:rFonts w:ascii="Times New Roman" w:hAnsi="Times New Roman"/>
          <w:sz w:val="24"/>
          <w:szCs w:val="24"/>
        </w:rPr>
        <w:t xml:space="preserve">el. p. jasnia@lrs.lt </w:t>
      </w:r>
    </w:p>
    <w:sectPr w:rsidR="00FF4FC5" w:rsidRPr="00FF4FC5">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TimesLT">
    <w:altName w:val="Courier New"/>
    <w:charset w:val="00"/>
    <w:family w:val="auto"/>
    <w:pitch w:val="variable"/>
  </w:font>
  <w:font w:name="TimesNewRomanPSMT">
    <w:altName w:val="MS Mincho"/>
    <w:panose1 w:val="00000000000000000000"/>
    <w:charset w:val="80"/>
    <w:family w:val="auto"/>
    <w:notTrueType/>
    <w:pitch w:val="default"/>
    <w:sig w:usb0="00000005" w:usb1="08070000" w:usb2="00000010" w:usb3="00000000" w:csb0="00020002" w:csb1="00000000"/>
  </w:font>
  <w:font w:name="CG Times">
    <w:panose1 w:val="00000000000000000000"/>
    <w:charset w:val="00"/>
    <w:family w:val="roman"/>
    <w:notTrueType/>
    <w:pitch w:val="variable"/>
    <w:sig w:usb0="00000003" w:usb1="00000000" w:usb2="00000000" w:usb3="00000000" w:csb0="00000001"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776"/>
    <w:rsid w:val="001204A9"/>
    <w:rsid w:val="00284B49"/>
    <w:rsid w:val="00563A96"/>
    <w:rsid w:val="007236B9"/>
    <w:rsid w:val="008F6776"/>
    <w:rsid w:val="00A11C06"/>
    <w:rsid w:val="00AD0585"/>
    <w:rsid w:val="00AD52F1"/>
    <w:rsid w:val="00FF4F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F677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Typewriter">
    <w:name w:val="Typewriter"/>
    <w:rsid w:val="007236B9"/>
    <w:rPr>
      <w:rFonts w:ascii="Courier New" w:hAnsi="Courier New"/>
      <w:sz w:val="20"/>
    </w:rPr>
  </w:style>
  <w:style w:type="paragraph" w:customStyle="1" w:styleId="Pagrindinistekstas1">
    <w:name w:val="Pagrindinis tekstas1"/>
    <w:rsid w:val="007236B9"/>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F677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Typewriter">
    <w:name w:val="Typewriter"/>
    <w:rsid w:val="007236B9"/>
    <w:rPr>
      <w:rFonts w:ascii="Courier New" w:hAnsi="Courier New"/>
      <w:sz w:val="20"/>
    </w:rPr>
  </w:style>
  <w:style w:type="paragraph" w:customStyle="1" w:styleId="Pagrindinistekstas1">
    <w:name w:val="Pagrindinis tekstas1"/>
    <w:rsid w:val="007236B9"/>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14123</Words>
  <Characters>8051</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11</cp:revision>
  <dcterms:created xsi:type="dcterms:W3CDTF">2014-11-06T07:58:00Z</dcterms:created>
  <dcterms:modified xsi:type="dcterms:W3CDTF">2014-11-18T13:38:00Z</dcterms:modified>
</cp:coreProperties>
</file>