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7866" w:rsidRPr="0067519B" w:rsidRDefault="006D7866" w:rsidP="006D7866">
      <w:pPr>
        <w:jc w:val="center"/>
        <w:rPr>
          <w:rFonts w:ascii="Times New Roman" w:hAnsi="Times New Roman" w:cs="Times New Roman"/>
          <w:b/>
          <w:sz w:val="24"/>
          <w:szCs w:val="24"/>
        </w:rPr>
      </w:pPr>
      <w:r w:rsidRPr="00A470CA">
        <w:rPr>
          <w:rFonts w:ascii="Times New Roman" w:hAnsi="Times New Roman" w:cs="Times New Roman"/>
          <w:b/>
          <w:sz w:val="24"/>
          <w:szCs w:val="24"/>
        </w:rPr>
        <w:t xml:space="preserve">Pranešimas apie 2014 m. </w:t>
      </w:r>
      <w:r>
        <w:rPr>
          <w:rFonts w:ascii="Times New Roman" w:hAnsi="Times New Roman" w:cs="Times New Roman"/>
          <w:b/>
          <w:sz w:val="24"/>
          <w:szCs w:val="24"/>
        </w:rPr>
        <w:t>spalio 15 d.</w:t>
      </w:r>
      <w:r w:rsidRPr="00A470CA">
        <w:rPr>
          <w:rFonts w:ascii="Times New Roman" w:hAnsi="Times New Roman" w:cs="Times New Roman"/>
          <w:b/>
          <w:sz w:val="24"/>
          <w:szCs w:val="24"/>
        </w:rPr>
        <w:t xml:space="preserve"> posėdį</w:t>
      </w:r>
      <w:r>
        <w:rPr>
          <w:rFonts w:ascii="Times New Roman" w:hAnsi="Times New Roman" w:cs="Times New Roman"/>
          <w:b/>
          <w:sz w:val="24"/>
          <w:szCs w:val="24"/>
        </w:rPr>
        <w:t xml:space="preserve"> </w:t>
      </w:r>
    </w:p>
    <w:p w:rsidR="006D7866" w:rsidRPr="00EF21D5" w:rsidRDefault="006D7866" w:rsidP="006D786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2014 m. spalio 15</w:t>
      </w:r>
      <w:r w:rsidRPr="00EF21D5">
        <w:rPr>
          <w:rFonts w:ascii="Times New Roman" w:hAnsi="Times New Roman" w:cs="Times New Roman"/>
          <w:sz w:val="24"/>
          <w:szCs w:val="24"/>
        </w:rPr>
        <w:t xml:space="preserve"> d. įvyko Komisijos posėdis, kuriame buvo nagrinėjami šie klausimai:</w:t>
      </w:r>
    </w:p>
    <w:p w:rsidR="006D7866" w:rsidRDefault="006D7866" w:rsidP="006D7866">
      <w:pPr>
        <w:spacing w:after="0" w:line="360" w:lineRule="auto"/>
        <w:ind w:firstLine="709"/>
        <w:jc w:val="both"/>
        <w:rPr>
          <w:rFonts w:ascii="Times New Roman" w:hAnsi="Times New Roman"/>
          <w:sz w:val="24"/>
          <w:szCs w:val="24"/>
        </w:rPr>
      </w:pPr>
      <w:r w:rsidRPr="00EF21D5">
        <w:rPr>
          <w:rFonts w:ascii="Times New Roman" w:hAnsi="Times New Roman"/>
          <w:sz w:val="24"/>
          <w:szCs w:val="24"/>
        </w:rPr>
        <w:t xml:space="preserve">1. </w:t>
      </w:r>
      <w:r>
        <w:rPr>
          <w:rFonts w:ascii="Times New Roman" w:hAnsi="Times New Roman"/>
          <w:sz w:val="24"/>
          <w:szCs w:val="24"/>
        </w:rPr>
        <w:t xml:space="preserve">Kristinos </w:t>
      </w:r>
      <w:proofErr w:type="spellStart"/>
      <w:r>
        <w:rPr>
          <w:rFonts w:ascii="Times New Roman" w:hAnsi="Times New Roman"/>
          <w:sz w:val="24"/>
          <w:szCs w:val="24"/>
        </w:rPr>
        <w:t>Česnauskienės</w:t>
      </w:r>
      <w:proofErr w:type="spellEnd"/>
      <w:r>
        <w:rPr>
          <w:rFonts w:ascii="Times New Roman" w:eastAsia="TimesNewRomanPSMT" w:hAnsi="Times New Roman"/>
          <w:sz w:val="24"/>
          <w:szCs w:val="24"/>
        </w:rPr>
        <w:t xml:space="preserve"> peticijos </w:t>
      </w:r>
      <w:r w:rsidR="00024B1D">
        <w:rPr>
          <w:rFonts w:ascii="Times New Roman" w:hAnsi="Times New Roman"/>
          <w:bCs/>
          <w:sz w:val="24"/>
          <w:szCs w:val="24"/>
        </w:rPr>
        <w:t>„</w:t>
      </w:r>
      <w:r w:rsidR="00024B1D">
        <w:rPr>
          <w:rFonts w:ascii="Times New Roman" w:hAnsi="Times New Roman"/>
          <w:sz w:val="24"/>
          <w:szCs w:val="24"/>
        </w:rPr>
        <w:t>Dėl Lietuvos Respublikos 163 straipsnio 4 dalies ir 440 straipsnio 2 dalies prieštaravimo Lietuvos Respublikos Konstitucijos 30 straipsniui“</w:t>
      </w:r>
      <w:r>
        <w:rPr>
          <w:rFonts w:ascii="Times New Roman" w:eastAsia="TimesNewRomanPSMT" w:hAnsi="Times New Roman"/>
          <w:sz w:val="24"/>
          <w:szCs w:val="24"/>
        </w:rPr>
        <w:t xml:space="preserve"> </w:t>
      </w:r>
      <w:r>
        <w:rPr>
          <w:rFonts w:ascii="Times New Roman" w:hAnsi="Times New Roman"/>
          <w:sz w:val="24"/>
          <w:szCs w:val="24"/>
        </w:rPr>
        <w:t xml:space="preserve"> nagrinėjimas iš esmės. </w:t>
      </w:r>
    </w:p>
    <w:p w:rsidR="006D7866" w:rsidRDefault="006D7866" w:rsidP="006D7866">
      <w:pPr>
        <w:spacing w:after="0" w:line="360" w:lineRule="auto"/>
        <w:ind w:firstLine="709"/>
        <w:jc w:val="both"/>
        <w:rPr>
          <w:rFonts w:ascii="Times New Roman" w:eastAsia="TimesNewRomanPSMT" w:hAnsi="Times New Roman"/>
          <w:sz w:val="24"/>
          <w:szCs w:val="24"/>
        </w:rPr>
      </w:pPr>
      <w:r>
        <w:rPr>
          <w:rFonts w:ascii="Times New Roman" w:hAnsi="Times New Roman"/>
          <w:sz w:val="24"/>
          <w:szCs w:val="24"/>
        </w:rPr>
        <w:t xml:space="preserve">2. Dėl Antano Algimanto Miškinio kreipimosi </w:t>
      </w:r>
      <w:r w:rsidR="00C61EF5" w:rsidRPr="00EC4768">
        <w:rPr>
          <w:rFonts w:ascii="Times New Roman" w:hAnsi="Times New Roman"/>
          <w:sz w:val="24"/>
          <w:szCs w:val="24"/>
        </w:rPr>
        <w:t>„Dėl valstybinės kainų ir energetikos kontrolės komisijos funkcijų ir kompetencijų“</w:t>
      </w:r>
      <w:r w:rsidR="00C61EF5">
        <w:rPr>
          <w:rFonts w:ascii="Times New Roman" w:hAnsi="Times New Roman"/>
          <w:sz w:val="24"/>
          <w:szCs w:val="24"/>
        </w:rPr>
        <w:t>.</w:t>
      </w:r>
      <w:r>
        <w:rPr>
          <w:rFonts w:ascii="Times New Roman" w:eastAsia="TimesNewRomanPSMT" w:hAnsi="Times New Roman"/>
          <w:sz w:val="24"/>
          <w:szCs w:val="24"/>
        </w:rPr>
        <w:t xml:space="preserve"> </w:t>
      </w:r>
    </w:p>
    <w:p w:rsidR="006D7866" w:rsidRDefault="006D7866" w:rsidP="006D7866">
      <w:pPr>
        <w:spacing w:after="0" w:line="360" w:lineRule="auto"/>
        <w:ind w:firstLine="709"/>
        <w:jc w:val="both"/>
        <w:rPr>
          <w:rFonts w:ascii="Times New Roman" w:hAnsi="Times New Roman"/>
          <w:sz w:val="24"/>
          <w:szCs w:val="24"/>
        </w:rPr>
      </w:pPr>
      <w:r>
        <w:rPr>
          <w:rFonts w:ascii="Times New Roman" w:eastAsia="TimesNewRomanPSMT" w:hAnsi="Times New Roman"/>
          <w:sz w:val="24"/>
          <w:szCs w:val="24"/>
        </w:rPr>
        <w:t xml:space="preserve">3. </w:t>
      </w:r>
      <w:r>
        <w:rPr>
          <w:rFonts w:ascii="Times New Roman" w:hAnsi="Times New Roman"/>
          <w:sz w:val="24"/>
          <w:szCs w:val="24"/>
        </w:rPr>
        <w:t xml:space="preserve">Dėl </w:t>
      </w:r>
      <w:r w:rsidR="00CA1ADA">
        <w:rPr>
          <w:rFonts w:ascii="Times New Roman" w:hAnsi="Times New Roman"/>
          <w:sz w:val="24"/>
          <w:szCs w:val="24"/>
        </w:rPr>
        <w:t xml:space="preserve">Gintauto </w:t>
      </w:r>
      <w:proofErr w:type="spellStart"/>
      <w:r>
        <w:rPr>
          <w:rFonts w:ascii="Times New Roman" w:hAnsi="Times New Roman"/>
          <w:sz w:val="24"/>
          <w:szCs w:val="24"/>
        </w:rPr>
        <w:t>Narkūno</w:t>
      </w:r>
      <w:proofErr w:type="spellEnd"/>
      <w:r>
        <w:rPr>
          <w:rFonts w:ascii="Times New Roman" w:hAnsi="Times New Roman"/>
          <w:sz w:val="24"/>
          <w:szCs w:val="24"/>
        </w:rPr>
        <w:t xml:space="preserve"> skundo dėl Komisijos sprendimo nepripažinti </w:t>
      </w:r>
      <w:r w:rsidR="00935E06">
        <w:rPr>
          <w:rFonts w:ascii="Times New Roman" w:hAnsi="Times New Roman"/>
          <w:sz w:val="24"/>
          <w:szCs w:val="24"/>
        </w:rPr>
        <w:t xml:space="preserve">peticija </w:t>
      </w:r>
      <w:r>
        <w:rPr>
          <w:rFonts w:ascii="Times New Roman" w:hAnsi="Times New Roman"/>
          <w:sz w:val="24"/>
          <w:szCs w:val="24"/>
        </w:rPr>
        <w:t xml:space="preserve">jo kreipimosi </w:t>
      </w:r>
      <w:r w:rsidR="00935E06" w:rsidRPr="00225319">
        <w:rPr>
          <w:rFonts w:ascii="Times New Roman" w:hAnsi="Times New Roman"/>
          <w:sz w:val="24"/>
          <w:szCs w:val="24"/>
        </w:rPr>
        <w:t>„Dėl Lietuvos Respublikos baudžiamojo kodekso pakeitimo“</w:t>
      </w:r>
      <w:r>
        <w:rPr>
          <w:rFonts w:ascii="Times New Roman" w:hAnsi="Times New Roman"/>
          <w:sz w:val="24"/>
          <w:szCs w:val="24"/>
        </w:rPr>
        <w:t>.</w:t>
      </w:r>
    </w:p>
    <w:p w:rsidR="00272C79" w:rsidRDefault="006D7866" w:rsidP="00272C79">
      <w:pPr>
        <w:pStyle w:val="Pagrindinistekstas"/>
        <w:spacing w:after="0" w:line="360" w:lineRule="auto"/>
        <w:ind w:firstLine="720"/>
        <w:jc w:val="both"/>
        <w:rPr>
          <w:rFonts w:ascii="Times New Roman" w:hAnsi="Times New Roman"/>
          <w:sz w:val="24"/>
          <w:szCs w:val="24"/>
        </w:rPr>
      </w:pPr>
      <w:r>
        <w:rPr>
          <w:rFonts w:ascii="Times New Roman" w:eastAsia="TimesNewRomanPSMT" w:hAnsi="Times New Roman"/>
          <w:sz w:val="24"/>
          <w:szCs w:val="24"/>
        </w:rPr>
        <w:t xml:space="preserve">Pirmuoju klausimu Komisija priėmė sprendimą atmesti </w:t>
      </w:r>
      <w:r>
        <w:rPr>
          <w:rFonts w:ascii="Times New Roman" w:hAnsi="Times New Roman"/>
          <w:sz w:val="24"/>
          <w:szCs w:val="24"/>
        </w:rPr>
        <w:t xml:space="preserve">Kristinos </w:t>
      </w:r>
      <w:proofErr w:type="spellStart"/>
      <w:r>
        <w:rPr>
          <w:rFonts w:ascii="Times New Roman" w:hAnsi="Times New Roman"/>
          <w:sz w:val="24"/>
          <w:szCs w:val="24"/>
        </w:rPr>
        <w:t>Česnauskienės</w:t>
      </w:r>
      <w:proofErr w:type="spellEnd"/>
      <w:r>
        <w:rPr>
          <w:rFonts w:ascii="Times New Roman" w:hAnsi="Times New Roman"/>
          <w:sz w:val="24"/>
          <w:szCs w:val="24"/>
        </w:rPr>
        <w:t xml:space="preserve"> </w:t>
      </w:r>
      <w:r>
        <w:rPr>
          <w:rFonts w:ascii="Times New Roman" w:eastAsia="TimesNewRomanPSMT" w:hAnsi="Times New Roman"/>
          <w:sz w:val="24"/>
          <w:szCs w:val="24"/>
        </w:rPr>
        <w:t xml:space="preserve">peticijoje </w:t>
      </w:r>
      <w:r w:rsidR="00024B1D">
        <w:rPr>
          <w:rFonts w:ascii="Times New Roman" w:hAnsi="Times New Roman"/>
          <w:bCs/>
          <w:sz w:val="24"/>
          <w:szCs w:val="24"/>
        </w:rPr>
        <w:t>„</w:t>
      </w:r>
      <w:r w:rsidR="00024B1D">
        <w:rPr>
          <w:rFonts w:ascii="Times New Roman" w:hAnsi="Times New Roman"/>
          <w:sz w:val="24"/>
          <w:szCs w:val="24"/>
        </w:rPr>
        <w:t xml:space="preserve">Dėl Lietuvos Respublikos 163 straipsnio 4 dalies ir 440 straipsnio 2 dalies prieštaravimo Lietuvos Respublikos Konstitucijos 30 straipsniui“ </w:t>
      </w:r>
      <w:r>
        <w:rPr>
          <w:rFonts w:ascii="Times New Roman" w:hAnsi="Times New Roman"/>
          <w:sz w:val="24"/>
          <w:szCs w:val="24"/>
        </w:rPr>
        <w:t xml:space="preserve">pateiktą </w:t>
      </w:r>
      <w:r w:rsidR="00024B1D">
        <w:rPr>
          <w:rFonts w:ascii="Times New Roman" w:hAnsi="Times New Roman"/>
          <w:sz w:val="24"/>
          <w:szCs w:val="24"/>
        </w:rPr>
        <w:t>pasiūlymą „pakeisti Lietuvos Respublikos baudžiamojo proceso kodekso 163 straipsnio 4 dalį ir 440 straipsn</w:t>
      </w:r>
      <w:r w:rsidR="00185D5B">
        <w:rPr>
          <w:rFonts w:ascii="Times New Roman" w:hAnsi="Times New Roman"/>
          <w:sz w:val="24"/>
          <w:szCs w:val="24"/>
        </w:rPr>
        <w:t>io 2 dalį</w:t>
      </w:r>
      <w:r w:rsidR="00024B1D">
        <w:rPr>
          <w:rFonts w:ascii="Times New Roman" w:hAnsi="Times New Roman"/>
          <w:sz w:val="24"/>
          <w:szCs w:val="24"/>
        </w:rPr>
        <w:t>“</w:t>
      </w:r>
      <w:r w:rsidR="00185D5B">
        <w:rPr>
          <w:rFonts w:ascii="Times New Roman" w:hAnsi="Times New Roman"/>
          <w:sz w:val="24"/>
          <w:szCs w:val="24"/>
        </w:rPr>
        <w:t>,</w:t>
      </w:r>
      <w:r w:rsidR="00272C79" w:rsidRPr="00272C79">
        <w:rPr>
          <w:rFonts w:ascii="Times New Roman" w:hAnsi="Times New Roman"/>
          <w:sz w:val="24"/>
          <w:szCs w:val="24"/>
        </w:rPr>
        <w:t xml:space="preserve"> </w:t>
      </w:r>
      <w:r w:rsidR="00272C79">
        <w:rPr>
          <w:rFonts w:ascii="Times New Roman" w:hAnsi="Times New Roman"/>
          <w:sz w:val="24"/>
          <w:szCs w:val="24"/>
        </w:rPr>
        <w:t>nes „nėra tinkamai užtikrinamos asmens teisės į teismą, t.y. teisė į apeliaciją, (...) nėra tinkamai sureglamentuota kreipimosi į apeliacinę instanciją tvarka, nėra tinkamai nurodyta ar galima kreiptis į Lietuvos Aukščiausiąjį Teismą apeliacine tvarka“.</w:t>
      </w:r>
    </w:p>
    <w:p w:rsidR="00272C79" w:rsidRDefault="00272C79" w:rsidP="00272C79">
      <w:pPr>
        <w:autoSpaceDE w:val="0"/>
        <w:autoSpaceDN w:val="0"/>
        <w:adjustRightInd w:val="0"/>
        <w:spacing w:after="0" w:line="360" w:lineRule="auto"/>
        <w:ind w:firstLine="567"/>
        <w:jc w:val="both"/>
        <w:rPr>
          <w:rFonts w:ascii="Times New Roman" w:eastAsia="TimesNewRomanPSMT" w:hAnsi="Times New Roman"/>
          <w:sz w:val="24"/>
          <w:szCs w:val="24"/>
        </w:rPr>
      </w:pPr>
      <w:r>
        <w:rPr>
          <w:rFonts w:ascii="Times New Roman" w:hAnsi="Times New Roman"/>
          <w:color w:val="000000"/>
          <w:sz w:val="24"/>
          <w:szCs w:val="24"/>
        </w:rPr>
        <w:t>Komisija šį sprendimą priėmė, atsižvelgusi į Lietuvos Respublikos teisingumo ministerijos pateiktą nuomonę ir manydama, kad</w:t>
      </w:r>
      <w:r>
        <w:rPr>
          <w:rFonts w:ascii="Times New Roman" w:hAnsi="Times New Roman"/>
          <w:sz w:val="24"/>
          <w:szCs w:val="24"/>
        </w:rPr>
        <w:t xml:space="preserve"> </w:t>
      </w:r>
      <w:r>
        <w:rPr>
          <w:rFonts w:ascii="Times New Roman" w:eastAsia="TimesNewRomanPSMT" w:hAnsi="Times New Roman"/>
          <w:sz w:val="24"/>
          <w:szCs w:val="24"/>
        </w:rPr>
        <w:t>dabartinis reguliavimas yra aiškus ir pakankamas.</w:t>
      </w:r>
    </w:p>
    <w:p w:rsidR="00272C79" w:rsidRDefault="00272C79" w:rsidP="00272C79">
      <w:pPr>
        <w:autoSpaceDE w:val="0"/>
        <w:autoSpaceDN w:val="0"/>
        <w:adjustRightInd w:val="0"/>
        <w:spacing w:after="0" w:line="360" w:lineRule="auto"/>
        <w:ind w:firstLine="567"/>
        <w:jc w:val="both"/>
        <w:rPr>
          <w:rFonts w:ascii="Times New Roman" w:eastAsia="TimesNewRomanPSMT" w:hAnsi="Times New Roman"/>
          <w:i/>
          <w:sz w:val="24"/>
          <w:szCs w:val="24"/>
        </w:rPr>
      </w:pPr>
      <w:r>
        <w:rPr>
          <w:rFonts w:ascii="Times New Roman" w:eastAsia="TimesNewRomanPSMT" w:hAnsi="Times New Roman"/>
          <w:sz w:val="24"/>
          <w:szCs w:val="24"/>
        </w:rPr>
        <w:t xml:space="preserve">Lietuvos Respublikos baudžiamojo proceso kodekso (toliau – BPK) 163 straipsnio 4 dalyje įtvirtinta nuostata, kad ikiteisminio tyrimo teisėjo ar bylą nagrinėjančio teismo nutartį paskirti baudą ar areštą nubaustas asmuo per septynias dienas nuo nutarties nuorašo gavimo gali apskųsti nutartį priėmusiam ikiteisminio tyrimo teisėjui ar teismui, prašydamas paskirtą baudą ar areštą panaikinti arba baudos ar arešto trukmę sumažinti. Toks skundas nagrinėjamas teismo posėdyje, jei apie tai yra pranešta skundą padavusiam asmeniui. Dėl skundo priimta nutartis gali būti skundžiama aukštesniajam teismui BPK X dalyje nustatyta tvarka. BPK 440 straipsnio 2 dalyje nurodyta, kad skundas dėl apylinkės teismo nutarties paduodamas apygardos teismui, dėl apygardos teismo nutarties – Lietuvos apeliaciniam teismui per septynias dienas nuo nutarties gavimo dienos. </w:t>
      </w:r>
      <w:r>
        <w:rPr>
          <w:rFonts w:ascii="Times New Roman" w:eastAsia="TimesNewRomanPSMT" w:hAnsi="Times New Roman"/>
          <w:i/>
          <w:sz w:val="24"/>
          <w:szCs w:val="24"/>
        </w:rPr>
        <w:t xml:space="preserve">Taigi BPK yra įtvirtinta galimybė skųsti paskirtą procesinę prievartos priemonę – baudą. Vadinasi, asmens teisė kreiptis į teismą, skundžiant paskirtą procesinę prievartos priemonę, nėra pažeista. Lietuvos </w:t>
      </w:r>
      <w:r>
        <w:rPr>
          <w:rFonts w:ascii="Times New Roman" w:eastAsia="TimesNewRomanPSMT" w:hAnsi="Times New Roman"/>
          <w:i/>
          <w:sz w:val="24"/>
          <w:szCs w:val="24"/>
        </w:rPr>
        <w:lastRenderedPageBreak/>
        <w:t>apeliaciniam teismui paskyrus baudą, kreipiamasi į tą patį teismą, vadovaujantis BPK 163 straipsnio 4 dalimi.</w:t>
      </w:r>
    </w:p>
    <w:p w:rsidR="00272C79" w:rsidRDefault="00272C79" w:rsidP="00272C79">
      <w:pPr>
        <w:autoSpaceDE w:val="0"/>
        <w:autoSpaceDN w:val="0"/>
        <w:adjustRightInd w:val="0"/>
        <w:spacing w:after="0" w:line="360" w:lineRule="auto"/>
        <w:ind w:firstLine="567"/>
        <w:jc w:val="both"/>
        <w:rPr>
          <w:rFonts w:ascii="Times New Roman" w:eastAsia="TimesNewRomanPSMT" w:hAnsi="Times New Roman"/>
          <w:i/>
          <w:sz w:val="24"/>
          <w:szCs w:val="24"/>
        </w:rPr>
      </w:pPr>
      <w:r>
        <w:rPr>
          <w:rFonts w:ascii="Times New Roman" w:eastAsia="TimesNewRomanPSMT" w:hAnsi="Times New Roman"/>
          <w:sz w:val="24"/>
          <w:szCs w:val="24"/>
        </w:rPr>
        <w:t>Vadovaujantis Lietuvos Respublikos teismų įstatymo (toliau – Teismų įstatymas) 23 straipsniu, Lietuvos Aukščiausiasis Teismas yra vienintelis kasacinės instancijos teismas įsiteisėjusiems bendrosios kompetencijos teismų sprendimams, nuosprendžiams, nutartims, nutarimams (išskyrus nutarimus administracinių teisės pažeidimų bylose) ir įsakymams peržiūrėti. Lietuvos Aukščiausiasis Teismas nagrinėja prašymus dėl proceso atnaujinimo užbaigtose administracinių teisės pažeidimų bylose. Taip pat Lietuvos Aukščiausiasis Teismas formuoja vienodą bendrosios kompetencijos teismų praktiką aiškinant ir taikant įstatymus ir kitus teisės aktus, taip pat vadovaudamasis Europos Sąjungos teisminių institucijų išaiškinimais, analizuoja ir apibendrina bendrosios kompetencijos teismų praktiką taikant Europos Sąjungos teisės normas ir teikia rekomendacijas dėl Lietuvos bendrosios kompetencijos teismų ir Europos Sąjungos teisminių institucijų bendradarbiavimo užtikrinant vienodą Europos Sąjungos teisės aktų aiškinimą ir taikymą Lietuvos Respublikoje. Atsižvelgiant</w:t>
      </w:r>
      <w:r>
        <w:rPr>
          <w:rFonts w:ascii="Times New Roman" w:hAnsi="Times New Roman"/>
          <w:sz w:val="24"/>
          <w:szCs w:val="24"/>
        </w:rPr>
        <w:t xml:space="preserve"> </w:t>
      </w:r>
      <w:r>
        <w:rPr>
          <w:rFonts w:ascii="Times New Roman" w:eastAsia="TimesNewRomanPSMT" w:hAnsi="Times New Roman"/>
          <w:sz w:val="24"/>
          <w:szCs w:val="24"/>
        </w:rPr>
        <w:t xml:space="preserve">į pagrindines Lietuvos Aukščiausiojo Teismo funkcijas, matyti, kad jos skiriasi nuo pirmosios instancijos ir apeliacinės instancijos teismų įprastai atliekamų funkcijų. </w:t>
      </w:r>
      <w:r>
        <w:rPr>
          <w:rFonts w:ascii="Times New Roman" w:eastAsia="TimesNewRomanPSMT" w:hAnsi="Times New Roman"/>
          <w:i/>
          <w:sz w:val="24"/>
          <w:szCs w:val="24"/>
        </w:rPr>
        <w:t>Lietuvos Aukščiausiojo Teismo funkcijos nėra susijusios su teisminio proceso, vykstančio žemesnės instancijos teismuose, veiksmų kontroliavimu ir peržiūra. Todėl BPK ir nėra numatyta baudžiamajame procese priimtų nutarčių apskundimo galimybė Lietuvos Aukščiausiajam Teismui. Manytina, kad tokios galimybės įtvirtinimas būtų nesuderinamas su Lietuvos Aukščiausiojo Teismo veikla.</w:t>
      </w:r>
    </w:p>
    <w:p w:rsidR="00272C79" w:rsidRDefault="00272C79" w:rsidP="00272C79">
      <w:pPr>
        <w:autoSpaceDE w:val="0"/>
        <w:autoSpaceDN w:val="0"/>
        <w:adjustRightInd w:val="0"/>
        <w:spacing w:after="0" w:line="360" w:lineRule="auto"/>
        <w:ind w:firstLine="709"/>
        <w:jc w:val="both"/>
        <w:rPr>
          <w:rFonts w:ascii="Times New Roman" w:eastAsia="TimesNewRomanPSMT" w:hAnsi="Times New Roman"/>
          <w:sz w:val="24"/>
          <w:szCs w:val="24"/>
        </w:rPr>
      </w:pPr>
      <w:r>
        <w:rPr>
          <w:rFonts w:ascii="Times New Roman" w:eastAsia="TimesNewRomanPSMT" w:hAnsi="Times New Roman"/>
          <w:sz w:val="24"/>
          <w:szCs w:val="24"/>
        </w:rPr>
        <w:t>Taip pat būtų netikslinga nurodyti, kad Lietuvos apeliacinio teismo nutarčių apskundimas apeliacine tvarka negalimas, kadangi, vadovaujantis galiojančia teismų sistema, nėra instancijos, kuri apeliacine tvarka nagrinėtų Apeliacinio teismo priimtus sprendimus.</w:t>
      </w:r>
    </w:p>
    <w:p w:rsidR="000D72E1" w:rsidRDefault="000D72E1" w:rsidP="00CA1ADA">
      <w:pPr>
        <w:autoSpaceDE w:val="0"/>
        <w:autoSpaceDN w:val="0"/>
        <w:adjustRightInd w:val="0"/>
        <w:spacing w:after="0" w:line="360" w:lineRule="auto"/>
        <w:ind w:firstLine="709"/>
        <w:jc w:val="both"/>
        <w:rPr>
          <w:rFonts w:ascii="Times New Roman" w:eastAsia="TimesNewRomanPSMT" w:hAnsi="Times New Roman"/>
          <w:sz w:val="24"/>
          <w:szCs w:val="24"/>
        </w:rPr>
      </w:pPr>
      <w:r>
        <w:rPr>
          <w:rFonts w:ascii="Times New Roman" w:eastAsia="TimesNewRomanPSMT" w:hAnsi="Times New Roman"/>
          <w:sz w:val="24"/>
          <w:szCs w:val="24"/>
        </w:rPr>
        <w:t xml:space="preserve">Antruoju klausimu buvo priimtas sprendimas Antano Algimanto Miškinio kreipimąsi </w:t>
      </w:r>
      <w:r w:rsidRPr="00EC4768">
        <w:rPr>
          <w:rFonts w:ascii="Times New Roman" w:hAnsi="Times New Roman"/>
          <w:sz w:val="24"/>
          <w:szCs w:val="24"/>
        </w:rPr>
        <w:t>„Dėl valstybinės kainų ir energetikos kontrolės komisijos funkcijų ir kompetencijų“</w:t>
      </w:r>
      <w:r>
        <w:rPr>
          <w:rFonts w:ascii="Times New Roman" w:hAnsi="Times New Roman"/>
          <w:sz w:val="24"/>
          <w:szCs w:val="24"/>
        </w:rPr>
        <w:t xml:space="preserve"> pripažinti peticija ir priimti ją nagrinėti.</w:t>
      </w:r>
    </w:p>
    <w:p w:rsidR="000D72E1" w:rsidRDefault="000D72E1" w:rsidP="00CA1ADA">
      <w:pPr>
        <w:spacing w:after="0"/>
        <w:ind w:firstLine="709"/>
        <w:rPr>
          <w:rFonts w:ascii="Times New Roman" w:hAnsi="Times New Roman" w:cs="Times New Roman"/>
          <w:sz w:val="24"/>
          <w:szCs w:val="24"/>
        </w:rPr>
      </w:pPr>
      <w:r>
        <w:rPr>
          <w:rFonts w:ascii="Times New Roman" w:hAnsi="Times New Roman" w:cs="Times New Roman"/>
          <w:sz w:val="24"/>
          <w:szCs w:val="24"/>
        </w:rPr>
        <w:t>Pareiškėjas kreipimesi pateikė tokius pasiūlymus:</w:t>
      </w:r>
    </w:p>
    <w:p w:rsidR="000D72E1" w:rsidRPr="00BD1727" w:rsidRDefault="000D72E1" w:rsidP="00185D5B">
      <w:pPr>
        <w:autoSpaceDE w:val="0"/>
        <w:autoSpaceDN w:val="0"/>
        <w:adjustRightInd w:val="0"/>
        <w:spacing w:after="0" w:line="360" w:lineRule="auto"/>
        <w:ind w:firstLine="709"/>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w:t>
      </w:r>
      <w:r w:rsidRPr="00BD1727">
        <w:rPr>
          <w:rFonts w:ascii="Times New Roman" w:eastAsia="TimesNewRomanPSMT" w:hAnsi="Times New Roman" w:cs="Times New Roman"/>
          <w:sz w:val="24"/>
          <w:szCs w:val="24"/>
        </w:rPr>
        <w:t xml:space="preserve">1) Energetikos įstatymas nustato, kad </w:t>
      </w:r>
      <w:r w:rsidRPr="00BD1727">
        <w:rPr>
          <w:rFonts w:ascii="Times New Roman" w:eastAsia="TimesNewRomanPSMT" w:hAnsi="Times New Roman" w:cs="Times New Roman"/>
          <w:bCs/>
          <w:sz w:val="24"/>
          <w:szCs w:val="24"/>
        </w:rPr>
        <w:t>„</w:t>
      </w:r>
      <w:r w:rsidRPr="00BD1727">
        <w:rPr>
          <w:rFonts w:ascii="Times New Roman" w:hAnsi="Times New Roman" w:cs="Times New Roman"/>
          <w:bCs/>
          <w:sz w:val="24"/>
          <w:szCs w:val="24"/>
        </w:rPr>
        <w:t>Komisiją sudaro penki nariai. Komisijos pirmininką ir keturis narius Respublikos Prezidento teikimu penkeriems metams skiria ir atleidžia Seimas“</w:t>
      </w:r>
      <w:r w:rsidRPr="000D72E1">
        <w:rPr>
          <w:rFonts w:ascii="Times New Roman" w:hAnsi="Times New Roman" w:cs="Times New Roman"/>
          <w:bCs/>
          <w:sz w:val="24"/>
          <w:szCs w:val="24"/>
        </w:rPr>
        <w:t>,</w:t>
      </w:r>
      <w:r w:rsidRPr="00BD1727">
        <w:rPr>
          <w:rFonts w:ascii="Times New Roman" w:hAnsi="Times New Roman" w:cs="Times New Roman"/>
          <w:b/>
          <w:bCs/>
          <w:sz w:val="24"/>
          <w:szCs w:val="24"/>
        </w:rPr>
        <w:t xml:space="preserve"> </w:t>
      </w:r>
      <w:r w:rsidRPr="00BD1727">
        <w:rPr>
          <w:rFonts w:ascii="Times New Roman" w:eastAsia="TimesNewRomanPSMT" w:hAnsi="Times New Roman" w:cs="Times New Roman"/>
          <w:sz w:val="24"/>
          <w:szCs w:val="24"/>
        </w:rPr>
        <w:t>tačiau Komisijos nuostatus tvirtina Vyriausybė.</w:t>
      </w:r>
      <w:r>
        <w:rPr>
          <w:rFonts w:ascii="Times New Roman" w:eastAsia="TimesNewRomanPSMT" w:hAnsi="Times New Roman" w:cs="Times New Roman"/>
          <w:sz w:val="24"/>
          <w:szCs w:val="24"/>
        </w:rPr>
        <w:t xml:space="preserve"> </w:t>
      </w:r>
      <w:r w:rsidRPr="00BD1727">
        <w:rPr>
          <w:rFonts w:ascii="Times New Roman" w:eastAsia="TimesNewRomanPSMT" w:hAnsi="Times New Roman" w:cs="Times New Roman"/>
          <w:sz w:val="24"/>
          <w:szCs w:val="24"/>
        </w:rPr>
        <w:t xml:space="preserve">Todėl atitinkamai </w:t>
      </w:r>
      <w:r w:rsidRPr="00BD1727">
        <w:rPr>
          <w:rFonts w:ascii="Times New Roman" w:hAnsi="Times New Roman" w:cs="Times New Roman"/>
          <w:bCs/>
          <w:sz w:val="24"/>
          <w:szCs w:val="24"/>
        </w:rPr>
        <w:t>Komisijos nuostatus</w:t>
      </w:r>
      <w:r w:rsidRPr="00BD1727">
        <w:rPr>
          <w:rFonts w:ascii="Times New Roman" w:hAnsi="Times New Roman" w:cs="Times New Roman"/>
          <w:b/>
          <w:bCs/>
          <w:sz w:val="24"/>
          <w:szCs w:val="24"/>
        </w:rPr>
        <w:t xml:space="preserve"> </w:t>
      </w:r>
      <w:r w:rsidRPr="00BD1727">
        <w:rPr>
          <w:rFonts w:ascii="Times New Roman" w:eastAsia="TimesNewRomanPSMT" w:hAnsi="Times New Roman" w:cs="Times New Roman"/>
          <w:sz w:val="24"/>
          <w:szCs w:val="24"/>
        </w:rPr>
        <w:t xml:space="preserve">turėtų tvirtinti, pvz. </w:t>
      </w:r>
      <w:r w:rsidRPr="00BD1727">
        <w:rPr>
          <w:rFonts w:ascii="Times New Roman" w:hAnsi="Times New Roman" w:cs="Times New Roman"/>
          <w:bCs/>
          <w:sz w:val="24"/>
          <w:szCs w:val="24"/>
        </w:rPr>
        <w:t>Seimo Valdyba,</w:t>
      </w:r>
      <w:r w:rsidRPr="00BD1727">
        <w:rPr>
          <w:rFonts w:ascii="Times New Roman" w:hAnsi="Times New Roman" w:cs="Times New Roman"/>
          <w:b/>
          <w:bCs/>
          <w:sz w:val="24"/>
          <w:szCs w:val="24"/>
        </w:rPr>
        <w:t xml:space="preserve"> </w:t>
      </w:r>
      <w:r w:rsidRPr="00BD1727">
        <w:rPr>
          <w:rFonts w:ascii="Times New Roman" w:eastAsia="TimesNewRomanPSMT" w:hAnsi="Times New Roman" w:cs="Times New Roman"/>
          <w:sz w:val="24"/>
          <w:szCs w:val="24"/>
        </w:rPr>
        <w:t xml:space="preserve">kaip kad ji </w:t>
      </w:r>
      <w:r w:rsidRPr="00BD1727">
        <w:rPr>
          <w:rFonts w:ascii="Times New Roman" w:hAnsi="Times New Roman" w:cs="Times New Roman"/>
          <w:bCs/>
          <w:sz w:val="24"/>
          <w:szCs w:val="24"/>
        </w:rPr>
        <w:t>nustato</w:t>
      </w:r>
      <w:r w:rsidRPr="00BD1727">
        <w:rPr>
          <w:rFonts w:ascii="Times New Roman" w:hAnsi="Times New Roman" w:cs="Times New Roman"/>
          <w:b/>
          <w:bCs/>
          <w:sz w:val="24"/>
          <w:szCs w:val="24"/>
        </w:rPr>
        <w:t xml:space="preserve"> </w:t>
      </w:r>
      <w:r w:rsidRPr="00BD1727">
        <w:rPr>
          <w:rFonts w:ascii="Times New Roman" w:eastAsia="TimesNewRomanPSMT" w:hAnsi="Times New Roman" w:cs="Times New Roman"/>
          <w:sz w:val="24"/>
          <w:szCs w:val="24"/>
        </w:rPr>
        <w:t>Komisijos administracijos valstybės tarnautojų ir darbuotojų, dirbančių pagal darbo sutartis, didžiau</w:t>
      </w:r>
      <w:r w:rsidR="00185D5B">
        <w:rPr>
          <w:rFonts w:ascii="Times New Roman" w:eastAsia="TimesNewRomanPSMT" w:hAnsi="Times New Roman" w:cs="Times New Roman"/>
          <w:sz w:val="24"/>
          <w:szCs w:val="24"/>
        </w:rPr>
        <w:t>sią leistiną pareigybių skaičių;</w:t>
      </w:r>
    </w:p>
    <w:p w:rsidR="000D72E1" w:rsidRPr="00BD1727" w:rsidRDefault="000D72E1" w:rsidP="00185D5B">
      <w:pPr>
        <w:autoSpaceDE w:val="0"/>
        <w:autoSpaceDN w:val="0"/>
        <w:adjustRightInd w:val="0"/>
        <w:spacing w:after="0" w:line="360" w:lineRule="auto"/>
        <w:ind w:firstLine="709"/>
        <w:jc w:val="both"/>
        <w:rPr>
          <w:rFonts w:ascii="Times New Roman" w:eastAsia="TimesNewRomanPSMT" w:hAnsi="Times New Roman" w:cs="Times New Roman"/>
          <w:i/>
          <w:iCs/>
          <w:sz w:val="24"/>
          <w:szCs w:val="24"/>
        </w:rPr>
      </w:pPr>
      <w:r w:rsidRPr="00BD1727">
        <w:rPr>
          <w:rFonts w:ascii="Times New Roman" w:hAnsi="Times New Roman" w:cs="Times New Roman"/>
          <w:sz w:val="24"/>
          <w:szCs w:val="24"/>
        </w:rPr>
        <w:lastRenderedPageBreak/>
        <w:t xml:space="preserve">2) </w:t>
      </w:r>
      <w:r w:rsidRPr="00BD1727">
        <w:rPr>
          <w:rFonts w:ascii="Times New Roman" w:eastAsia="TimesNewRomanPSMT" w:hAnsi="Times New Roman" w:cs="Times New Roman"/>
          <w:sz w:val="24"/>
          <w:szCs w:val="24"/>
        </w:rPr>
        <w:t xml:space="preserve">kad iš esmės </w:t>
      </w:r>
      <w:r w:rsidRPr="00BD1727">
        <w:rPr>
          <w:rFonts w:ascii="Times New Roman" w:eastAsia="TimesNewRomanPSMT" w:hAnsi="Times New Roman" w:cs="Times New Roman"/>
          <w:bCs/>
          <w:sz w:val="24"/>
          <w:szCs w:val="24"/>
        </w:rPr>
        <w:t>užtikrinti Komisijos nepriklausomybę</w:t>
      </w:r>
      <w:r w:rsidRPr="000D72E1">
        <w:rPr>
          <w:rFonts w:ascii="Times New Roman" w:eastAsia="TimesNewRomanPSMT" w:hAnsi="Times New Roman" w:cs="Times New Roman"/>
          <w:bCs/>
          <w:sz w:val="24"/>
          <w:szCs w:val="24"/>
        </w:rPr>
        <w:t>,</w:t>
      </w:r>
      <w:r w:rsidRPr="00BD1727">
        <w:rPr>
          <w:rFonts w:ascii="Times New Roman" w:eastAsia="TimesNewRomanPSMT" w:hAnsi="Times New Roman" w:cs="Times New Roman"/>
          <w:b/>
          <w:bCs/>
          <w:sz w:val="24"/>
          <w:szCs w:val="24"/>
        </w:rPr>
        <w:t xml:space="preserve"> </w:t>
      </w:r>
      <w:r w:rsidRPr="00BD1727">
        <w:rPr>
          <w:rFonts w:ascii="Times New Roman" w:eastAsia="TimesNewRomanPSMT" w:hAnsi="Times New Roman" w:cs="Times New Roman"/>
          <w:iCs/>
          <w:sz w:val="24"/>
          <w:szCs w:val="24"/>
        </w:rPr>
        <w:t>kainų nustatymo metodikų rengimas turi būti išjungtas i</w:t>
      </w:r>
      <w:r w:rsidR="00185D5B">
        <w:rPr>
          <w:rFonts w:ascii="Times New Roman" w:eastAsia="TimesNewRomanPSMT" w:hAnsi="Times New Roman" w:cs="Times New Roman"/>
          <w:iCs/>
          <w:sz w:val="24"/>
          <w:szCs w:val="24"/>
        </w:rPr>
        <w:t>š Kainų komisijos kompetencijos;</w:t>
      </w:r>
    </w:p>
    <w:p w:rsidR="000D72E1" w:rsidRDefault="000D72E1" w:rsidP="00185D5B">
      <w:pPr>
        <w:autoSpaceDE w:val="0"/>
        <w:autoSpaceDN w:val="0"/>
        <w:adjustRightInd w:val="0"/>
        <w:spacing w:after="0" w:line="360" w:lineRule="auto"/>
        <w:ind w:firstLine="709"/>
        <w:jc w:val="both"/>
        <w:rPr>
          <w:rFonts w:ascii="Times New Roman" w:hAnsi="Times New Roman" w:cs="Times New Roman"/>
          <w:bCs/>
          <w:sz w:val="24"/>
          <w:szCs w:val="24"/>
        </w:rPr>
      </w:pPr>
      <w:r w:rsidRPr="00BD1727">
        <w:rPr>
          <w:rFonts w:ascii="Times New Roman" w:eastAsia="TimesNewRomanPSMT" w:hAnsi="Times New Roman" w:cs="Times New Roman"/>
          <w:iCs/>
          <w:sz w:val="24"/>
          <w:szCs w:val="24"/>
        </w:rPr>
        <w:t xml:space="preserve">3) </w:t>
      </w:r>
      <w:r w:rsidRPr="00BD1727">
        <w:rPr>
          <w:rFonts w:ascii="Times New Roman" w:hAnsi="Times New Roman" w:cs="Times New Roman"/>
          <w:bCs/>
          <w:sz w:val="24"/>
          <w:szCs w:val="24"/>
        </w:rPr>
        <w:t xml:space="preserve">Energetikos įstatyme </w:t>
      </w:r>
      <w:r w:rsidRPr="00BD1727">
        <w:rPr>
          <w:rFonts w:ascii="Times New Roman" w:eastAsia="TimesNewRomanPSMT" w:hAnsi="Times New Roman" w:cs="Times New Roman"/>
          <w:sz w:val="24"/>
          <w:szCs w:val="24"/>
        </w:rPr>
        <w:t>nustatyta, kad „</w:t>
      </w:r>
      <w:r w:rsidR="00185D5B">
        <w:rPr>
          <w:rFonts w:ascii="Times New Roman" w:hAnsi="Times New Roman" w:cs="Times New Roman"/>
          <w:bCs/>
          <w:iCs/>
          <w:sz w:val="24"/>
          <w:szCs w:val="24"/>
        </w:rPr>
        <w:t>s</w:t>
      </w:r>
      <w:r>
        <w:rPr>
          <w:rFonts w:ascii="Times New Roman" w:hAnsi="Times New Roman" w:cs="Times New Roman"/>
          <w:bCs/>
          <w:iCs/>
          <w:sz w:val="24"/>
          <w:szCs w:val="24"/>
        </w:rPr>
        <w:t>prendimas dėl</w:t>
      </w:r>
      <w:r w:rsidRPr="00BD1727">
        <w:rPr>
          <w:rFonts w:ascii="Times New Roman" w:hAnsi="Times New Roman" w:cs="Times New Roman"/>
          <w:bCs/>
          <w:iCs/>
          <w:sz w:val="24"/>
          <w:szCs w:val="24"/>
        </w:rPr>
        <w:t xml:space="preserve"> Komisijos pirmininko skatinimo</w:t>
      </w:r>
      <w:r>
        <w:rPr>
          <w:rFonts w:ascii="Times New Roman" w:hAnsi="Times New Roman" w:cs="Times New Roman"/>
          <w:bCs/>
          <w:iCs/>
          <w:sz w:val="24"/>
          <w:szCs w:val="24"/>
        </w:rPr>
        <w:t xml:space="preserve"> </w:t>
      </w:r>
      <w:r w:rsidRPr="00BD1727">
        <w:rPr>
          <w:rFonts w:ascii="Times New Roman" w:hAnsi="Times New Roman" w:cs="Times New Roman"/>
          <w:iCs/>
          <w:sz w:val="24"/>
          <w:szCs w:val="24"/>
        </w:rPr>
        <w:t>priimamas posėdyje dalyvaujančių Komisijos narių balsų dauguma</w:t>
      </w:r>
      <w:r w:rsidR="00185D5B">
        <w:rPr>
          <w:rFonts w:ascii="Times New Roman" w:hAnsi="Times New Roman" w:cs="Times New Roman"/>
          <w:iCs/>
          <w:sz w:val="24"/>
          <w:szCs w:val="24"/>
        </w:rPr>
        <w:t>“</w:t>
      </w:r>
      <w:bookmarkStart w:id="0" w:name="_GoBack"/>
      <w:bookmarkEnd w:id="0"/>
      <w:r w:rsidRPr="00BD1727">
        <w:rPr>
          <w:rFonts w:ascii="Times New Roman" w:hAnsi="Times New Roman" w:cs="Times New Roman"/>
          <w:iCs/>
          <w:sz w:val="24"/>
          <w:szCs w:val="24"/>
        </w:rPr>
        <w:t xml:space="preserve"> </w:t>
      </w:r>
      <w:r w:rsidRPr="00BD1727">
        <w:rPr>
          <w:rFonts w:ascii="Times New Roman" w:eastAsia="TimesNewRomanPSMT" w:hAnsi="Times New Roman" w:cs="Times New Roman"/>
          <w:sz w:val="24"/>
          <w:szCs w:val="24"/>
        </w:rPr>
        <w:t>primena pirmus</w:t>
      </w:r>
      <w:r>
        <w:rPr>
          <w:rFonts w:ascii="Times New Roman" w:eastAsia="TimesNewRomanPSMT" w:hAnsi="Times New Roman" w:cs="Times New Roman"/>
          <w:sz w:val="24"/>
          <w:szCs w:val="24"/>
        </w:rPr>
        <w:t xml:space="preserve"> </w:t>
      </w:r>
      <w:r w:rsidRPr="00BD1727">
        <w:rPr>
          <w:rFonts w:ascii="Times New Roman" w:eastAsia="TimesNewRomanPSMT" w:hAnsi="Times New Roman" w:cs="Times New Roman"/>
          <w:sz w:val="24"/>
          <w:szCs w:val="24"/>
        </w:rPr>
        <w:t>nepriklausomybė</w:t>
      </w:r>
      <w:r>
        <w:rPr>
          <w:rFonts w:ascii="Times New Roman" w:eastAsia="TimesNewRomanPSMT" w:hAnsi="Times New Roman" w:cs="Times New Roman"/>
          <w:sz w:val="24"/>
          <w:szCs w:val="24"/>
        </w:rPr>
        <w:t>s m</w:t>
      </w:r>
      <w:r w:rsidRPr="00BD1727">
        <w:rPr>
          <w:rFonts w:ascii="Times New Roman" w:eastAsia="TimesNewRomanPSMT" w:hAnsi="Times New Roman" w:cs="Times New Roman"/>
          <w:sz w:val="24"/>
          <w:szCs w:val="24"/>
        </w:rPr>
        <w:t>etus...... ir kelia juoką</w:t>
      </w:r>
      <w:r>
        <w:rPr>
          <w:rFonts w:ascii="Times New Roman" w:eastAsia="TimesNewRomanPSMT" w:hAnsi="Times New Roman" w:cs="Times New Roman"/>
          <w:sz w:val="24"/>
          <w:szCs w:val="24"/>
        </w:rPr>
        <w:t xml:space="preserve">. </w:t>
      </w:r>
      <w:r w:rsidRPr="00BD1727">
        <w:rPr>
          <w:rFonts w:ascii="Times New Roman" w:eastAsia="TimesNewRomanPSMT" w:hAnsi="Times New Roman" w:cs="Times New Roman"/>
          <w:sz w:val="24"/>
          <w:szCs w:val="24"/>
        </w:rPr>
        <w:t xml:space="preserve">Kad skatinti Komisijos vadovybę reikia, abejonių nėra, bet </w:t>
      </w:r>
      <w:r>
        <w:rPr>
          <w:rFonts w:ascii="Times New Roman" w:hAnsi="Times New Roman" w:cs="Times New Roman"/>
          <w:bCs/>
          <w:sz w:val="24"/>
          <w:szCs w:val="24"/>
        </w:rPr>
        <w:t>kad pati Komisija save skatintų</w:t>
      </w:r>
      <w:r w:rsidRPr="00BD1727">
        <w:rPr>
          <w:rFonts w:ascii="Times New Roman" w:hAnsi="Times New Roman" w:cs="Times New Roman"/>
          <w:bCs/>
          <w:sz w:val="24"/>
          <w:szCs w:val="24"/>
        </w:rPr>
        <w:t xml:space="preserve"> </w:t>
      </w:r>
      <w:r w:rsidRPr="00BD1727">
        <w:rPr>
          <w:rFonts w:ascii="Times New Roman" w:eastAsia="TimesNewRomanPSMT" w:hAnsi="Times New Roman" w:cs="Times New Roman"/>
          <w:sz w:val="24"/>
          <w:szCs w:val="24"/>
        </w:rPr>
        <w:t>tai jau</w:t>
      </w:r>
      <w:r>
        <w:rPr>
          <w:rFonts w:ascii="Times New Roman" w:eastAsia="TimesNewRomanPSMT" w:hAnsi="Times New Roman" w:cs="Times New Roman"/>
          <w:sz w:val="24"/>
          <w:szCs w:val="24"/>
        </w:rPr>
        <w:t xml:space="preserve"> </w:t>
      </w:r>
      <w:r w:rsidRPr="00BD1727">
        <w:rPr>
          <w:rFonts w:ascii="Times New Roman" w:eastAsia="TimesNewRomanPSMT" w:hAnsi="Times New Roman" w:cs="Times New Roman"/>
          <w:sz w:val="24"/>
          <w:szCs w:val="24"/>
        </w:rPr>
        <w:t>visiškai nerimta.</w:t>
      </w:r>
      <w:r>
        <w:rPr>
          <w:rFonts w:ascii="Times New Roman" w:eastAsia="TimesNewRomanPSMT" w:hAnsi="Times New Roman" w:cs="Times New Roman"/>
          <w:sz w:val="24"/>
          <w:szCs w:val="24"/>
        </w:rPr>
        <w:t xml:space="preserve"> </w:t>
      </w:r>
      <w:r w:rsidRPr="00BD1727">
        <w:rPr>
          <w:rFonts w:ascii="Times New Roman" w:eastAsia="TimesNewRomanPSMT" w:hAnsi="Times New Roman" w:cs="Times New Roman"/>
          <w:sz w:val="24"/>
          <w:szCs w:val="24"/>
        </w:rPr>
        <w:t xml:space="preserve">Mūsų nuomone tiek </w:t>
      </w:r>
      <w:r w:rsidRPr="00BD1727">
        <w:rPr>
          <w:rFonts w:ascii="Times New Roman" w:hAnsi="Times New Roman" w:cs="Times New Roman"/>
          <w:bCs/>
          <w:sz w:val="24"/>
          <w:szCs w:val="24"/>
        </w:rPr>
        <w:t>Komisijos pirmininką, tiek jos narius skatinti turėtų kad ir Seimo valdyba.</w:t>
      </w:r>
      <w:r>
        <w:rPr>
          <w:rFonts w:ascii="Times New Roman" w:hAnsi="Times New Roman" w:cs="Times New Roman"/>
          <w:bCs/>
          <w:sz w:val="24"/>
          <w:szCs w:val="24"/>
        </w:rPr>
        <w:t>“</w:t>
      </w:r>
    </w:p>
    <w:p w:rsidR="001B6A3F" w:rsidRDefault="000D72E1" w:rsidP="001B6A3F">
      <w:pPr>
        <w:spacing w:after="0" w:line="360" w:lineRule="auto"/>
        <w:ind w:firstLine="720"/>
        <w:jc w:val="both"/>
        <w:rPr>
          <w:rFonts w:ascii="Times New Roman" w:hAnsi="Times New Roman"/>
          <w:sz w:val="24"/>
          <w:szCs w:val="24"/>
        </w:rPr>
      </w:pPr>
      <w:r>
        <w:rPr>
          <w:rFonts w:ascii="Times New Roman" w:hAnsi="Times New Roman" w:cs="Times New Roman"/>
          <w:bCs/>
          <w:sz w:val="24"/>
          <w:szCs w:val="24"/>
        </w:rPr>
        <w:t>Trečiuoju klausimu</w:t>
      </w:r>
      <w:r w:rsidR="001B6A3F" w:rsidRPr="001B6A3F">
        <w:rPr>
          <w:rFonts w:ascii="Times New Roman" w:hAnsi="Times New Roman"/>
          <w:sz w:val="24"/>
          <w:szCs w:val="24"/>
        </w:rPr>
        <w:t xml:space="preserve"> </w:t>
      </w:r>
      <w:r w:rsidR="001B6A3F">
        <w:rPr>
          <w:rFonts w:ascii="Times New Roman" w:hAnsi="Times New Roman"/>
          <w:sz w:val="24"/>
          <w:szCs w:val="24"/>
        </w:rPr>
        <w:t xml:space="preserve">Komisija, vadovaudamasi Peticijų įstatymo 10 straipsnio 2 dalimi ir Komisijos nuostatų 32 punktu, priėmė sprendimą paprašyti pareiškėją </w:t>
      </w:r>
      <w:r w:rsidR="00CA1ADA">
        <w:rPr>
          <w:rFonts w:ascii="Times New Roman" w:hAnsi="Times New Roman"/>
          <w:sz w:val="24"/>
          <w:szCs w:val="24"/>
        </w:rPr>
        <w:t xml:space="preserve">Gintautą </w:t>
      </w:r>
      <w:proofErr w:type="spellStart"/>
      <w:r w:rsidR="00CA1ADA">
        <w:rPr>
          <w:rFonts w:ascii="Times New Roman" w:hAnsi="Times New Roman"/>
          <w:sz w:val="24"/>
          <w:szCs w:val="24"/>
        </w:rPr>
        <w:t>Narkūną</w:t>
      </w:r>
      <w:proofErr w:type="spellEnd"/>
      <w:r w:rsidR="00CA1ADA">
        <w:rPr>
          <w:rFonts w:ascii="Times New Roman" w:hAnsi="Times New Roman"/>
          <w:sz w:val="24"/>
          <w:szCs w:val="24"/>
        </w:rPr>
        <w:t xml:space="preserve"> </w:t>
      </w:r>
      <w:r w:rsidR="001B6A3F">
        <w:rPr>
          <w:rFonts w:ascii="Times New Roman" w:hAnsi="Times New Roman"/>
          <w:sz w:val="24"/>
          <w:szCs w:val="24"/>
        </w:rPr>
        <w:t xml:space="preserve">iki šių metų spalio 31 d. pašalinti skundo </w:t>
      </w:r>
      <w:r w:rsidR="00CA1ADA">
        <w:rPr>
          <w:rFonts w:ascii="Times New Roman" w:hAnsi="Times New Roman"/>
          <w:sz w:val="24"/>
          <w:szCs w:val="24"/>
        </w:rPr>
        <w:t xml:space="preserve">dėl Komisijos sprendimo nepripažinti jo kreipimosi peticija </w:t>
      </w:r>
      <w:r w:rsidR="001B6A3F">
        <w:rPr>
          <w:rFonts w:ascii="Times New Roman" w:hAnsi="Times New Roman"/>
          <w:sz w:val="24"/>
          <w:szCs w:val="24"/>
        </w:rPr>
        <w:t>trūkumus.</w:t>
      </w:r>
    </w:p>
    <w:p w:rsidR="001B6A3F" w:rsidRPr="00102366" w:rsidRDefault="001B6A3F" w:rsidP="001B6A3F">
      <w:pPr>
        <w:spacing w:after="0" w:line="360" w:lineRule="auto"/>
        <w:ind w:firstLine="720"/>
        <w:jc w:val="both"/>
        <w:rPr>
          <w:rStyle w:val="Typewriter"/>
          <w:rFonts w:ascii="Times New Roman" w:hAnsi="Times New Roman"/>
          <w:sz w:val="24"/>
          <w:szCs w:val="24"/>
        </w:rPr>
      </w:pPr>
      <w:r w:rsidRPr="00102366">
        <w:rPr>
          <w:rFonts w:ascii="Times New Roman" w:hAnsi="Times New Roman"/>
          <w:sz w:val="24"/>
          <w:szCs w:val="24"/>
        </w:rPr>
        <w:t xml:space="preserve">Peticijų įstatymo 10 straipsnio </w:t>
      </w:r>
      <w:r>
        <w:rPr>
          <w:rFonts w:ascii="Times New Roman" w:hAnsi="Times New Roman"/>
          <w:sz w:val="24"/>
          <w:szCs w:val="24"/>
        </w:rPr>
        <w:t>1 ir 2 dalys</w:t>
      </w:r>
      <w:r w:rsidRPr="00102366">
        <w:rPr>
          <w:rFonts w:ascii="Times New Roman" w:hAnsi="Times New Roman"/>
          <w:sz w:val="24"/>
          <w:szCs w:val="24"/>
        </w:rPr>
        <w:t xml:space="preserve">e yra nustatyta, kad </w:t>
      </w:r>
      <w:r>
        <w:rPr>
          <w:rStyle w:val="Typewriter"/>
          <w:rFonts w:ascii="Times New Roman" w:hAnsi="Times New Roman"/>
          <w:sz w:val="24"/>
          <w:szCs w:val="24"/>
        </w:rPr>
        <w:t>p</w:t>
      </w:r>
      <w:r w:rsidRPr="00102366">
        <w:rPr>
          <w:rStyle w:val="Typewriter"/>
          <w:rFonts w:ascii="Times New Roman" w:hAnsi="Times New Roman"/>
          <w:sz w:val="24"/>
          <w:szCs w:val="24"/>
        </w:rPr>
        <w:t xml:space="preserve">areiškėjas ne vėliau kaip per 1 mėnesį nuo pranešimo apie sprendimą nepripažinti kreipimosi peticija ar atsisakyti priimti peticiją nagrinėti gavimo dienos gali apskųsti </w:t>
      </w:r>
      <w:r>
        <w:rPr>
          <w:rStyle w:val="Typewriter"/>
          <w:rFonts w:ascii="Times New Roman" w:hAnsi="Times New Roman"/>
          <w:sz w:val="24"/>
          <w:szCs w:val="24"/>
        </w:rPr>
        <w:t>Seimui</w:t>
      </w:r>
      <w:r w:rsidRPr="00102366">
        <w:rPr>
          <w:rStyle w:val="Typewriter"/>
          <w:rFonts w:ascii="Times New Roman" w:hAnsi="Times New Roman"/>
          <w:sz w:val="24"/>
          <w:szCs w:val="24"/>
        </w:rPr>
        <w:t xml:space="preserve"> </w:t>
      </w:r>
      <w:r>
        <w:rPr>
          <w:rStyle w:val="Typewriter"/>
          <w:rFonts w:ascii="Times New Roman" w:hAnsi="Times New Roman"/>
          <w:sz w:val="24"/>
          <w:szCs w:val="24"/>
        </w:rPr>
        <w:t xml:space="preserve">Komisijos sprendimą, tačiau </w:t>
      </w:r>
      <w:r w:rsidRPr="00102366">
        <w:rPr>
          <w:rFonts w:ascii="Times New Roman" w:hAnsi="Times New Roman"/>
          <w:sz w:val="24"/>
          <w:szCs w:val="24"/>
        </w:rPr>
        <w:t>s</w:t>
      </w:r>
      <w:r w:rsidRPr="00102366">
        <w:rPr>
          <w:rStyle w:val="Typewriter"/>
          <w:rFonts w:ascii="Times New Roman" w:hAnsi="Times New Roman"/>
          <w:sz w:val="24"/>
          <w:szCs w:val="24"/>
        </w:rPr>
        <w:t>kunde turi būti nurodytos aplinkybės, pagrindžiančios Komisijos sprendimo neteisėtumą ar</w:t>
      </w:r>
      <w:r w:rsidRPr="00102366">
        <w:rPr>
          <w:rStyle w:val="Typewriter"/>
          <w:rFonts w:ascii="Times New Roman" w:hAnsi="Times New Roman"/>
          <w:b/>
          <w:sz w:val="24"/>
          <w:szCs w:val="24"/>
        </w:rPr>
        <w:t xml:space="preserve"> </w:t>
      </w:r>
      <w:r w:rsidRPr="00102366">
        <w:rPr>
          <w:rStyle w:val="Typewriter"/>
          <w:rFonts w:ascii="Times New Roman" w:hAnsi="Times New Roman"/>
          <w:sz w:val="24"/>
          <w:szCs w:val="24"/>
        </w:rPr>
        <w:t>nepagrįstumą.</w:t>
      </w:r>
    </w:p>
    <w:p w:rsidR="001B6A3F" w:rsidRDefault="001B6A3F" w:rsidP="001B6A3F">
      <w:pPr>
        <w:spacing w:after="0" w:line="360" w:lineRule="auto"/>
        <w:ind w:firstLine="720"/>
        <w:jc w:val="both"/>
        <w:rPr>
          <w:rStyle w:val="Typewriter"/>
          <w:rFonts w:ascii="Times New Roman" w:hAnsi="Times New Roman"/>
          <w:sz w:val="24"/>
          <w:szCs w:val="24"/>
        </w:rPr>
      </w:pPr>
      <w:r>
        <w:rPr>
          <w:rStyle w:val="Typewriter"/>
          <w:rFonts w:ascii="Times New Roman" w:hAnsi="Times New Roman"/>
          <w:sz w:val="24"/>
          <w:szCs w:val="24"/>
        </w:rPr>
        <w:t>Komisijos nuostatų 32 punkte yra nustatyta, kad „</w:t>
      </w:r>
      <w:r w:rsidRPr="00E3129C">
        <w:rPr>
          <w:rFonts w:ascii="Times New Roman" w:hAnsi="Times New Roman"/>
          <w:sz w:val="24"/>
          <w:szCs w:val="24"/>
        </w:rPr>
        <w:t>Seimui adresuotas skundas perduodamas Komisijos pirmininkui, kuris artimiausiame Komisijos posėdyje supažindina Komisijos narius su skundu. Komisija nusprendžia, ar skundas atitinka Peticijų įstatymo 10 straipsnio 2 dalyje nustatytus reikalavimus skundui. Jeigu skundas neatitinka Peticijų įstatymo 10 straipsnio 2 dalyje nustatytų reikalavimų, Komisija nustato terminą trūkumams pašalinti ir praneša apie tai pareiškėjui ar jo atstovui. Pareiškėjui ar jo atstovui per nustatytą terminą neištaisius trūkumų, laikoma, kad skundas yra nepaduotas</w:t>
      </w:r>
      <w:r>
        <w:rPr>
          <w:rFonts w:ascii="Times New Roman" w:hAnsi="Times New Roman"/>
          <w:sz w:val="24"/>
          <w:szCs w:val="24"/>
        </w:rPr>
        <w:t>.“</w:t>
      </w:r>
    </w:p>
    <w:p w:rsidR="001B6A3F" w:rsidRDefault="001B6A3F" w:rsidP="001B6A3F">
      <w:pPr>
        <w:spacing w:after="0" w:line="360" w:lineRule="auto"/>
        <w:ind w:firstLine="720"/>
        <w:jc w:val="both"/>
        <w:rPr>
          <w:rFonts w:ascii="Times New Roman" w:hAnsi="Times New Roman"/>
          <w:sz w:val="24"/>
          <w:szCs w:val="24"/>
        </w:rPr>
      </w:pPr>
      <w:r>
        <w:rPr>
          <w:rFonts w:ascii="Times New Roman" w:hAnsi="Times New Roman"/>
          <w:sz w:val="24"/>
          <w:szCs w:val="24"/>
        </w:rPr>
        <w:t xml:space="preserve">Komisija 2014 m. rugsėjo 26 d. raštu informavo pareiškėją, kad šių metų rugsėjo 24 d. Komisija, vadovaudamasi Peticijų įstatymo 9 straipsnio 3 dalies 5 punktu, priėmė sprendimą jo kreipimosi </w:t>
      </w:r>
      <w:r w:rsidRPr="00225319">
        <w:rPr>
          <w:rFonts w:ascii="Times New Roman" w:hAnsi="Times New Roman"/>
          <w:sz w:val="24"/>
          <w:szCs w:val="24"/>
        </w:rPr>
        <w:t>„Dėl Lietuvos Respublikos baudžiamojo kodekso pakeitimo“</w:t>
      </w:r>
      <w:r>
        <w:rPr>
          <w:rFonts w:ascii="Times New Roman" w:hAnsi="Times New Roman"/>
          <w:sz w:val="24"/>
          <w:szCs w:val="24"/>
        </w:rPr>
        <w:t xml:space="preserve"> nepripažinti peticija, nes Peticijų įstatymo 9 straipsnio 3 dalies 5 punkte yra nustatyta, kad kreipimasis nepripažįstamas peticija, jei </w:t>
      </w:r>
      <w:r w:rsidRPr="002D3915">
        <w:rPr>
          <w:rStyle w:val="Typewriter"/>
          <w:rFonts w:ascii="Times New Roman" w:hAnsi="Times New Roman"/>
          <w:sz w:val="24"/>
          <w:szCs w:val="24"/>
        </w:rPr>
        <w:t>peticijų komisija per kalendorinius metus dėl tų pačių reikalavimų ir siūlymų, išdėstytų kreipim</w:t>
      </w:r>
      <w:r>
        <w:rPr>
          <w:rStyle w:val="Typewriter"/>
          <w:rFonts w:ascii="Times New Roman" w:hAnsi="Times New Roman"/>
          <w:sz w:val="24"/>
          <w:szCs w:val="24"/>
        </w:rPr>
        <w:t>esi, jau yra priėmusi sprendimą: š</w:t>
      </w:r>
      <w:r>
        <w:rPr>
          <w:rFonts w:ascii="Times New Roman" w:hAnsi="Times New Roman"/>
          <w:sz w:val="24"/>
          <w:szCs w:val="24"/>
        </w:rPr>
        <w:t xml:space="preserve">ių metų balandžio 16 d. Komisija atmetė Rolando Čiapo peticijoje pateiktą pasiūlymą „pakeisti Lietuvos Respublikos baudžiamąjį kodeksą taip, kad </w:t>
      </w:r>
      <w:r>
        <w:rPr>
          <w:rFonts w:ascii="Times New Roman" w:hAnsi="Times New Roman"/>
          <w:color w:val="000000"/>
          <w:sz w:val="24"/>
          <w:szCs w:val="24"/>
        </w:rPr>
        <w:t>viena kardomojo kalinimo (suėmimo) diena būtų prilyginta dviem laisvės atėmimo dienoms.</w:t>
      </w:r>
      <w:r>
        <w:rPr>
          <w:rFonts w:ascii="Times New Roman" w:hAnsi="Times New Roman"/>
          <w:sz w:val="24"/>
          <w:szCs w:val="24"/>
        </w:rPr>
        <w:t xml:space="preserve"> </w:t>
      </w:r>
      <w:r w:rsidRPr="00745B98">
        <w:rPr>
          <w:rFonts w:ascii="Times New Roman" w:hAnsi="Times New Roman"/>
          <w:sz w:val="24"/>
          <w:szCs w:val="24"/>
        </w:rPr>
        <w:t xml:space="preserve">Seimas </w:t>
      </w:r>
      <w:r>
        <w:rPr>
          <w:rFonts w:ascii="Times New Roman" w:hAnsi="Times New Roman"/>
          <w:sz w:val="24"/>
          <w:szCs w:val="24"/>
        </w:rPr>
        <w:t xml:space="preserve">pritarė Komisijos išvadai ir balandžio </w:t>
      </w:r>
      <w:r w:rsidRPr="00745B98">
        <w:rPr>
          <w:rFonts w:ascii="Times New Roman" w:hAnsi="Times New Roman"/>
          <w:sz w:val="24"/>
          <w:szCs w:val="24"/>
        </w:rPr>
        <w:t xml:space="preserve">24 </w:t>
      </w:r>
      <w:r>
        <w:rPr>
          <w:rFonts w:ascii="Times New Roman" w:hAnsi="Times New Roman"/>
          <w:sz w:val="24"/>
          <w:szCs w:val="24"/>
        </w:rPr>
        <w:t xml:space="preserve">d. </w:t>
      </w:r>
      <w:r w:rsidRPr="00745B98">
        <w:rPr>
          <w:rFonts w:ascii="Times New Roman" w:hAnsi="Times New Roman"/>
          <w:sz w:val="24"/>
          <w:szCs w:val="24"/>
        </w:rPr>
        <w:t xml:space="preserve">priėmė Seimo protokolinį nutarimą atmesti </w:t>
      </w:r>
      <w:r>
        <w:rPr>
          <w:rFonts w:ascii="Times New Roman" w:hAnsi="Times New Roman"/>
          <w:sz w:val="24"/>
          <w:szCs w:val="24"/>
        </w:rPr>
        <w:t>šį</w:t>
      </w:r>
      <w:r w:rsidRPr="00745B98">
        <w:rPr>
          <w:rFonts w:ascii="Times New Roman" w:hAnsi="Times New Roman"/>
          <w:sz w:val="24"/>
          <w:szCs w:val="24"/>
        </w:rPr>
        <w:t xml:space="preserve"> pasiūlymą.</w:t>
      </w:r>
      <w:r>
        <w:rPr>
          <w:rFonts w:ascii="Times New Roman" w:hAnsi="Times New Roman"/>
          <w:sz w:val="24"/>
          <w:szCs w:val="24"/>
        </w:rPr>
        <w:t xml:space="preserve"> </w:t>
      </w:r>
      <w:r w:rsidRPr="00745B98">
        <w:rPr>
          <w:rFonts w:ascii="Times New Roman" w:hAnsi="Times New Roman"/>
          <w:sz w:val="24"/>
          <w:szCs w:val="24"/>
        </w:rPr>
        <w:t>Šis Seimo sprendimas yra galutinis ir neskundžiamas.</w:t>
      </w:r>
    </w:p>
    <w:p w:rsidR="001B6A3F" w:rsidRDefault="001B6A3F" w:rsidP="001B6A3F">
      <w:pPr>
        <w:spacing w:after="0" w:line="360" w:lineRule="auto"/>
        <w:ind w:firstLine="720"/>
        <w:jc w:val="both"/>
        <w:rPr>
          <w:rFonts w:ascii="Times New Roman" w:hAnsi="Times New Roman"/>
          <w:color w:val="000000"/>
          <w:sz w:val="24"/>
          <w:szCs w:val="24"/>
        </w:rPr>
      </w:pPr>
      <w:r>
        <w:rPr>
          <w:rFonts w:ascii="Times New Roman" w:hAnsi="Times New Roman"/>
          <w:sz w:val="24"/>
          <w:szCs w:val="24"/>
        </w:rPr>
        <w:lastRenderedPageBreak/>
        <w:t xml:space="preserve">Taigi Komisija 2014 metais jau yra priėmusi sprendimą dėl tokio paties siūlymo, kokį pareiškėjas pateikė savo kreipimesi – pakeisti Lietuvos Respublikos baudžiamąjį kodeksą taip, kad </w:t>
      </w:r>
      <w:r>
        <w:rPr>
          <w:rFonts w:ascii="Times New Roman" w:hAnsi="Times New Roman"/>
          <w:color w:val="000000"/>
          <w:sz w:val="24"/>
          <w:szCs w:val="24"/>
        </w:rPr>
        <w:t>viena kardomojo kalinimo (suėmimo) diena būtų prilyginta dviem laisvės atėmimo dienoms.</w:t>
      </w:r>
    </w:p>
    <w:p w:rsidR="001B6A3F" w:rsidRDefault="001B6A3F" w:rsidP="001B6A3F">
      <w:pPr>
        <w:spacing w:after="0" w:line="360" w:lineRule="auto"/>
        <w:ind w:firstLine="720"/>
        <w:jc w:val="both"/>
        <w:rPr>
          <w:rFonts w:ascii="Times New Roman" w:hAnsi="Times New Roman"/>
          <w:sz w:val="24"/>
          <w:szCs w:val="24"/>
        </w:rPr>
      </w:pPr>
      <w:r>
        <w:rPr>
          <w:rFonts w:ascii="Times New Roman" w:hAnsi="Times New Roman"/>
          <w:color w:val="000000"/>
          <w:sz w:val="24"/>
          <w:szCs w:val="24"/>
        </w:rPr>
        <w:t>Atsižvelgiant į tai, pareiškėjas savo skunde turi nurodyti, kodėl šis Komisijos sprendimas nepripažinti kreipimosi peticija yra neteisėtas ir nepagrįstas. Dabar Seimui adresuotame skunde nurodytos aplinkybės yra deklaratyvios ir nepagrįstos:</w:t>
      </w:r>
      <w:r w:rsidRPr="00D376C0">
        <w:rPr>
          <w:rFonts w:ascii="Times New Roman" w:hAnsi="Times New Roman"/>
          <w:sz w:val="24"/>
          <w:szCs w:val="24"/>
        </w:rPr>
        <w:t xml:space="preserve"> </w:t>
      </w:r>
      <w:r>
        <w:rPr>
          <w:rFonts w:ascii="Times New Roman" w:hAnsi="Times New Roman"/>
          <w:sz w:val="24"/>
          <w:szCs w:val="24"/>
        </w:rPr>
        <w:t xml:space="preserve">pareiškėjas rašo, kad „Komisija dirba nekompetentingai, o gal būt ir korumpuoti Seimo nariai su pirmininku Petru </w:t>
      </w:r>
      <w:proofErr w:type="spellStart"/>
      <w:r>
        <w:rPr>
          <w:rFonts w:ascii="Times New Roman" w:hAnsi="Times New Roman"/>
          <w:sz w:val="24"/>
          <w:szCs w:val="24"/>
        </w:rPr>
        <w:t>Čimbaru</w:t>
      </w:r>
      <w:proofErr w:type="spellEnd"/>
      <w:r>
        <w:rPr>
          <w:rFonts w:ascii="Times New Roman" w:hAnsi="Times New Roman"/>
          <w:sz w:val="24"/>
          <w:szCs w:val="24"/>
        </w:rPr>
        <w:t>“, „todėl motyvuotai, pagrįstai ir teisėtai kreipiuosi į Jus dėl Komisijos nekompetentingumo“, tačiau jis nenurodo jokių argumentų, kodėl Komisija, nepripažindama jo kreipimosi peticija, neteisėtai ir nepagrįstai vadovavosi Peticijų įstatymo 9 straipsnio 3 dalies 5 punktu.</w:t>
      </w:r>
    </w:p>
    <w:p w:rsidR="001B6A3F" w:rsidRDefault="001B6A3F" w:rsidP="001B6A3F">
      <w:pPr>
        <w:spacing w:after="0" w:line="360" w:lineRule="auto"/>
        <w:ind w:firstLine="720"/>
        <w:jc w:val="both"/>
        <w:rPr>
          <w:rFonts w:ascii="Times New Roman" w:hAnsi="Times New Roman"/>
          <w:sz w:val="24"/>
          <w:szCs w:val="24"/>
        </w:rPr>
      </w:pPr>
      <w:r>
        <w:rPr>
          <w:rFonts w:ascii="Times New Roman" w:hAnsi="Times New Roman"/>
          <w:sz w:val="24"/>
          <w:szCs w:val="24"/>
        </w:rPr>
        <w:t>Taigi iki spalio 31 d. pareiškėjas turi ištaisyti savo skundo trūkumus ir nurodyti aplinkybes, pagrindžiančias Komisijos sprendimo neteisėtumą ir nepagrįstumą.</w:t>
      </w:r>
      <w:r w:rsidRPr="00D376C0">
        <w:rPr>
          <w:rFonts w:ascii="Times New Roman" w:hAnsi="Times New Roman"/>
          <w:sz w:val="24"/>
          <w:szCs w:val="24"/>
        </w:rPr>
        <w:t xml:space="preserve"> </w:t>
      </w:r>
      <w:r>
        <w:rPr>
          <w:rFonts w:ascii="Times New Roman" w:hAnsi="Times New Roman"/>
          <w:sz w:val="24"/>
          <w:szCs w:val="24"/>
        </w:rPr>
        <w:t>P</w:t>
      </w:r>
      <w:r w:rsidRPr="00E3129C">
        <w:rPr>
          <w:rFonts w:ascii="Times New Roman" w:hAnsi="Times New Roman"/>
          <w:sz w:val="24"/>
          <w:szCs w:val="24"/>
        </w:rPr>
        <w:t>er nustatytą terminą</w:t>
      </w:r>
      <w:r>
        <w:rPr>
          <w:rFonts w:ascii="Times New Roman" w:hAnsi="Times New Roman"/>
          <w:sz w:val="24"/>
          <w:szCs w:val="24"/>
        </w:rPr>
        <w:t xml:space="preserve"> </w:t>
      </w:r>
      <w:r w:rsidRPr="00E3129C">
        <w:rPr>
          <w:rFonts w:ascii="Times New Roman" w:hAnsi="Times New Roman"/>
          <w:sz w:val="24"/>
          <w:szCs w:val="24"/>
        </w:rPr>
        <w:t xml:space="preserve">neištaisius trūkumų, </w:t>
      </w:r>
      <w:r>
        <w:rPr>
          <w:rFonts w:ascii="Times New Roman" w:hAnsi="Times New Roman"/>
          <w:sz w:val="24"/>
          <w:szCs w:val="24"/>
        </w:rPr>
        <w:t xml:space="preserve">bus </w:t>
      </w:r>
      <w:r w:rsidRPr="00E3129C">
        <w:rPr>
          <w:rFonts w:ascii="Times New Roman" w:hAnsi="Times New Roman"/>
          <w:sz w:val="24"/>
          <w:szCs w:val="24"/>
        </w:rPr>
        <w:t>laiko</w:t>
      </w:r>
      <w:r>
        <w:rPr>
          <w:rFonts w:ascii="Times New Roman" w:hAnsi="Times New Roman"/>
          <w:sz w:val="24"/>
          <w:szCs w:val="24"/>
        </w:rPr>
        <w:t>ma, kad skundas yra nepaduotas.</w:t>
      </w:r>
    </w:p>
    <w:p w:rsidR="000D72E1" w:rsidRDefault="000D72E1" w:rsidP="001B6A3F">
      <w:pPr>
        <w:tabs>
          <w:tab w:val="left" w:pos="4111"/>
        </w:tabs>
        <w:autoSpaceDE w:val="0"/>
        <w:autoSpaceDN w:val="0"/>
        <w:adjustRightInd w:val="0"/>
        <w:spacing w:after="0" w:line="360" w:lineRule="auto"/>
        <w:jc w:val="both"/>
        <w:rPr>
          <w:rFonts w:ascii="Times New Roman" w:hAnsi="Times New Roman" w:cs="Times New Roman"/>
          <w:bCs/>
          <w:sz w:val="24"/>
          <w:szCs w:val="24"/>
        </w:rPr>
      </w:pPr>
    </w:p>
    <w:p w:rsidR="00045ECE" w:rsidRDefault="00045ECE" w:rsidP="00045ECE">
      <w:pPr>
        <w:spacing w:line="360" w:lineRule="auto"/>
        <w:jc w:val="both"/>
        <w:rPr>
          <w:rFonts w:ascii="Times New Roman" w:hAnsi="Times New Roman"/>
          <w:sz w:val="24"/>
        </w:rPr>
      </w:pPr>
      <w:r>
        <w:rPr>
          <w:rFonts w:ascii="Times New Roman" w:hAnsi="Times New Roman"/>
          <w:sz w:val="24"/>
          <w:szCs w:val="24"/>
        </w:rPr>
        <w:t xml:space="preserve">Komisijų biuro patarėja Janina </w:t>
      </w:r>
      <w:proofErr w:type="spellStart"/>
      <w:r>
        <w:rPr>
          <w:rFonts w:ascii="Times New Roman" w:hAnsi="Times New Roman"/>
          <w:sz w:val="24"/>
          <w:szCs w:val="24"/>
        </w:rPr>
        <w:t>Šniaukštienė</w:t>
      </w:r>
      <w:proofErr w:type="spellEnd"/>
      <w:r>
        <w:rPr>
          <w:rFonts w:ascii="Times New Roman" w:hAnsi="Times New Roman"/>
          <w:sz w:val="24"/>
          <w:szCs w:val="24"/>
        </w:rPr>
        <w:t xml:space="preserve">, tel. </w:t>
      </w:r>
      <w:r w:rsidRPr="00AF1C8B">
        <w:rPr>
          <w:rFonts w:ascii="Times New Roman" w:hAnsi="Times New Roman"/>
          <w:sz w:val="24"/>
          <w:szCs w:val="24"/>
        </w:rPr>
        <w:t>(8 5) 239 6819,</w:t>
      </w:r>
      <w:r>
        <w:rPr>
          <w:rFonts w:ascii="Times New Roman" w:hAnsi="Times New Roman"/>
          <w:sz w:val="24"/>
          <w:szCs w:val="24"/>
        </w:rPr>
        <w:t xml:space="preserve"> </w:t>
      </w:r>
      <w:r w:rsidRPr="00AF1C8B">
        <w:rPr>
          <w:rFonts w:ascii="Times New Roman" w:hAnsi="Times New Roman"/>
          <w:sz w:val="24"/>
          <w:szCs w:val="24"/>
        </w:rPr>
        <w:t xml:space="preserve">el. p. jasnia@lrs.lt </w:t>
      </w:r>
    </w:p>
    <w:p w:rsidR="000B4755" w:rsidRDefault="000B4755" w:rsidP="001B6A3F">
      <w:pPr>
        <w:pStyle w:val="Pagrindinistekstas"/>
        <w:tabs>
          <w:tab w:val="left" w:pos="6804"/>
        </w:tabs>
        <w:spacing w:after="0" w:line="360" w:lineRule="auto"/>
        <w:ind w:firstLine="720"/>
        <w:jc w:val="both"/>
      </w:pPr>
    </w:p>
    <w:sectPr w:rsidR="000B4755">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imesNewRomanPSMT">
    <w:altName w:val="MS Mincho"/>
    <w:panose1 w:val="00000000000000000000"/>
    <w:charset w:val="80"/>
    <w:family w:val="auto"/>
    <w:notTrueType/>
    <w:pitch w:val="default"/>
    <w:sig w:usb0="00000005" w:usb1="08070000" w:usb2="00000010" w:usb3="00000000" w:csb0="00020002"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7866"/>
    <w:rsid w:val="00024B1D"/>
    <w:rsid w:val="00045ECE"/>
    <w:rsid w:val="000B4755"/>
    <w:rsid w:val="000D72E1"/>
    <w:rsid w:val="00166BE1"/>
    <w:rsid w:val="00185D5B"/>
    <w:rsid w:val="001B6A3F"/>
    <w:rsid w:val="00272C79"/>
    <w:rsid w:val="006D7866"/>
    <w:rsid w:val="00935E06"/>
    <w:rsid w:val="00A77A43"/>
    <w:rsid w:val="00C53BD1"/>
    <w:rsid w:val="00C61EF5"/>
    <w:rsid w:val="00CA1AD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6D7866"/>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uiPriority w:val="99"/>
    <w:unhideWhenUsed/>
    <w:rsid w:val="006D7866"/>
    <w:pPr>
      <w:spacing w:after="120"/>
    </w:pPr>
    <w:rPr>
      <w:rFonts w:ascii="Calibri" w:eastAsia="Calibri" w:hAnsi="Calibri" w:cs="Times New Roman"/>
    </w:rPr>
  </w:style>
  <w:style w:type="character" w:customStyle="1" w:styleId="PagrindinistekstasDiagrama">
    <w:name w:val="Pagrindinis tekstas Diagrama"/>
    <w:basedOn w:val="Numatytasispastraiposriftas"/>
    <w:link w:val="Pagrindinistekstas"/>
    <w:uiPriority w:val="99"/>
    <w:rsid w:val="006D7866"/>
    <w:rPr>
      <w:rFonts w:ascii="Calibri" w:eastAsia="Calibri" w:hAnsi="Calibri" w:cs="Times New Roman"/>
    </w:rPr>
  </w:style>
  <w:style w:type="character" w:customStyle="1" w:styleId="Typewriter">
    <w:name w:val="Typewriter"/>
    <w:rsid w:val="001B6A3F"/>
    <w:rPr>
      <w:rFonts w:ascii="Courier New" w:hAnsi="Courier New"/>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6D7866"/>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uiPriority w:val="99"/>
    <w:unhideWhenUsed/>
    <w:rsid w:val="006D7866"/>
    <w:pPr>
      <w:spacing w:after="120"/>
    </w:pPr>
    <w:rPr>
      <w:rFonts w:ascii="Calibri" w:eastAsia="Calibri" w:hAnsi="Calibri" w:cs="Times New Roman"/>
    </w:rPr>
  </w:style>
  <w:style w:type="character" w:customStyle="1" w:styleId="PagrindinistekstasDiagrama">
    <w:name w:val="Pagrindinis tekstas Diagrama"/>
    <w:basedOn w:val="Numatytasispastraiposriftas"/>
    <w:link w:val="Pagrindinistekstas"/>
    <w:uiPriority w:val="99"/>
    <w:rsid w:val="006D7866"/>
    <w:rPr>
      <w:rFonts w:ascii="Calibri" w:eastAsia="Calibri" w:hAnsi="Calibri" w:cs="Times New Roman"/>
    </w:rPr>
  </w:style>
  <w:style w:type="character" w:customStyle="1" w:styleId="Typewriter">
    <w:name w:val="Typewriter"/>
    <w:rsid w:val="001B6A3F"/>
    <w:rPr>
      <w:rFonts w:ascii="Courier New" w:hAnsi="Courier New"/>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28178">
      <w:bodyDiv w:val="1"/>
      <w:marLeft w:val="0"/>
      <w:marRight w:val="0"/>
      <w:marTop w:val="0"/>
      <w:marBottom w:val="0"/>
      <w:divBdr>
        <w:top w:val="none" w:sz="0" w:space="0" w:color="auto"/>
        <w:left w:val="none" w:sz="0" w:space="0" w:color="auto"/>
        <w:bottom w:val="none" w:sz="0" w:space="0" w:color="auto"/>
        <w:right w:val="none" w:sz="0" w:space="0" w:color="auto"/>
      </w:divBdr>
    </w:div>
    <w:div w:id="307636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4</Pages>
  <Words>5812</Words>
  <Characters>3313</Characters>
  <Application>Microsoft Office Word</Application>
  <DocSecurity>0</DocSecurity>
  <Lines>27</Lines>
  <Paragraphs>18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14</cp:revision>
  <dcterms:created xsi:type="dcterms:W3CDTF">2014-10-13T05:23:00Z</dcterms:created>
  <dcterms:modified xsi:type="dcterms:W3CDTF">2014-10-16T05:12:00Z</dcterms:modified>
</cp:coreProperties>
</file>