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C31" w:rsidRPr="0067519B" w:rsidRDefault="00A20C31" w:rsidP="00A20C31">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birželio 4</w:t>
      </w:r>
      <w:r w:rsidRPr="00A470CA">
        <w:rPr>
          <w:rFonts w:ascii="Times New Roman" w:hAnsi="Times New Roman" w:cs="Times New Roman"/>
          <w:b/>
          <w:sz w:val="24"/>
          <w:szCs w:val="24"/>
        </w:rPr>
        <w:t xml:space="preserve"> d. posėdį</w:t>
      </w:r>
      <w:r>
        <w:rPr>
          <w:rFonts w:ascii="Times New Roman" w:hAnsi="Times New Roman" w:cs="Times New Roman"/>
          <w:b/>
          <w:sz w:val="24"/>
          <w:szCs w:val="24"/>
        </w:rPr>
        <w:t xml:space="preserve"> </w:t>
      </w:r>
    </w:p>
    <w:p w:rsidR="00A20C31" w:rsidRPr="00EF21D5" w:rsidRDefault="00A20C31" w:rsidP="00EF21D5">
      <w:pPr>
        <w:spacing w:after="0"/>
        <w:ind w:firstLine="709"/>
        <w:jc w:val="both"/>
        <w:rPr>
          <w:rFonts w:ascii="Times New Roman" w:hAnsi="Times New Roman" w:cs="Times New Roman"/>
          <w:sz w:val="24"/>
          <w:szCs w:val="24"/>
        </w:rPr>
      </w:pPr>
      <w:r w:rsidRPr="00EF21D5">
        <w:rPr>
          <w:rFonts w:ascii="Times New Roman" w:hAnsi="Times New Roman" w:cs="Times New Roman"/>
          <w:sz w:val="24"/>
          <w:szCs w:val="24"/>
        </w:rPr>
        <w:t>2014 m. birželio 4 d.</w:t>
      </w:r>
      <w:r w:rsidR="006D5030" w:rsidRPr="00EF21D5">
        <w:rPr>
          <w:rFonts w:ascii="Times New Roman" w:hAnsi="Times New Roman" w:cs="Times New Roman"/>
          <w:sz w:val="24"/>
          <w:szCs w:val="24"/>
        </w:rPr>
        <w:t xml:space="preserve"> </w:t>
      </w:r>
      <w:r w:rsidRPr="00EF21D5">
        <w:rPr>
          <w:rFonts w:ascii="Times New Roman" w:hAnsi="Times New Roman" w:cs="Times New Roman"/>
          <w:sz w:val="24"/>
          <w:szCs w:val="24"/>
        </w:rPr>
        <w:t>įvyko Komisijos posėdis, kuriame buvo nagrinėjami šie klausimai:</w:t>
      </w:r>
    </w:p>
    <w:p w:rsidR="00A20C31" w:rsidRPr="00EF21D5" w:rsidRDefault="00A20C31" w:rsidP="00EF21D5">
      <w:pPr>
        <w:spacing w:after="0"/>
        <w:ind w:firstLine="709"/>
        <w:jc w:val="both"/>
        <w:rPr>
          <w:rFonts w:ascii="Times New Roman" w:eastAsia="TimesNewRomanPSMT" w:hAnsi="Times New Roman"/>
          <w:sz w:val="24"/>
          <w:szCs w:val="24"/>
        </w:rPr>
      </w:pPr>
      <w:r w:rsidRPr="00EF21D5">
        <w:rPr>
          <w:rFonts w:ascii="Times New Roman" w:hAnsi="Times New Roman"/>
          <w:sz w:val="24"/>
          <w:szCs w:val="24"/>
        </w:rPr>
        <w:t xml:space="preserve">1. </w:t>
      </w:r>
      <w:r w:rsidR="006D5030" w:rsidRPr="00EF21D5">
        <w:rPr>
          <w:rFonts w:ascii="Times New Roman" w:hAnsi="Times New Roman"/>
          <w:sz w:val="24"/>
          <w:szCs w:val="24"/>
        </w:rPr>
        <w:t xml:space="preserve">Elenos Stankevičienės peticijos „Dėl Lietuvos Respublikos </w:t>
      </w:r>
      <w:r w:rsidR="006D5030" w:rsidRPr="00EF21D5">
        <w:rPr>
          <w:rFonts w:ascii="Times New Roman" w:hAnsi="Times New Roman"/>
          <w:bCs/>
          <w:sz w:val="24"/>
          <w:szCs w:val="24"/>
          <w:lang w:eastAsia="lt-LT"/>
        </w:rPr>
        <w:t xml:space="preserve">psichikos sveikatos priežiūros įstatymo papildymo“ </w:t>
      </w:r>
      <w:r w:rsidR="006D5030" w:rsidRPr="00EF21D5">
        <w:rPr>
          <w:rFonts w:ascii="Times New Roman" w:eastAsia="TimesNewRomanPSMT" w:hAnsi="Times New Roman"/>
          <w:sz w:val="24"/>
          <w:szCs w:val="24"/>
        </w:rPr>
        <w:t>nagrinėjimas iš esmės.</w:t>
      </w:r>
      <w:r w:rsidRPr="00EF21D5">
        <w:rPr>
          <w:rFonts w:ascii="Times New Roman" w:eastAsia="TimesNewRomanPSMT" w:hAnsi="Times New Roman"/>
          <w:sz w:val="24"/>
          <w:szCs w:val="24"/>
        </w:rPr>
        <w:t xml:space="preserve"> </w:t>
      </w:r>
      <w:r w:rsidR="006D5030" w:rsidRPr="00EF21D5">
        <w:rPr>
          <w:rFonts w:ascii="Times New Roman" w:eastAsia="TimesNewRomanPSMT" w:hAnsi="Times New Roman"/>
          <w:sz w:val="24"/>
          <w:szCs w:val="24"/>
        </w:rPr>
        <w:t xml:space="preserve"> </w:t>
      </w:r>
    </w:p>
    <w:p w:rsidR="00A20C31" w:rsidRPr="00EF21D5" w:rsidRDefault="00A20C31" w:rsidP="00EF21D5">
      <w:pPr>
        <w:spacing w:after="0"/>
        <w:ind w:firstLine="709"/>
        <w:jc w:val="both"/>
        <w:rPr>
          <w:rFonts w:ascii="Times New Roman" w:hAnsi="Times New Roman"/>
          <w:sz w:val="24"/>
          <w:szCs w:val="24"/>
        </w:rPr>
      </w:pPr>
      <w:r w:rsidRPr="00EF21D5">
        <w:rPr>
          <w:rFonts w:ascii="Times New Roman" w:eastAsia="TimesNewRomanPSMT" w:hAnsi="Times New Roman"/>
          <w:sz w:val="24"/>
          <w:szCs w:val="24"/>
        </w:rPr>
        <w:t xml:space="preserve">2. </w:t>
      </w:r>
      <w:r w:rsidR="006D5030" w:rsidRPr="00EF21D5">
        <w:rPr>
          <w:rFonts w:ascii="Times New Roman" w:eastAsia="TimesNewRomanPSMT" w:hAnsi="Times New Roman"/>
          <w:sz w:val="24"/>
          <w:szCs w:val="24"/>
        </w:rPr>
        <w:t>Aido Kazlausko peticijos „Dėl Lietuvos Respublikos bausmių vykdymo kodekso 96 straipsnio 1 dalies pakeitimo“ nagrinėjimas iš esmės.</w:t>
      </w:r>
    </w:p>
    <w:p w:rsidR="006D5030" w:rsidRPr="00EF21D5" w:rsidRDefault="00A20C31" w:rsidP="00EF21D5">
      <w:pPr>
        <w:spacing w:after="0"/>
        <w:ind w:firstLine="709"/>
        <w:jc w:val="both"/>
        <w:rPr>
          <w:rFonts w:ascii="Times New Roman" w:eastAsia="TimesNewRomanPSMT" w:hAnsi="Times New Roman"/>
          <w:sz w:val="24"/>
          <w:szCs w:val="24"/>
          <w:lang w:eastAsia="lt-LT"/>
        </w:rPr>
      </w:pPr>
      <w:r w:rsidRPr="00EF21D5">
        <w:rPr>
          <w:rFonts w:ascii="Times New Roman" w:hAnsi="Times New Roman"/>
          <w:sz w:val="24"/>
          <w:szCs w:val="24"/>
        </w:rPr>
        <w:t xml:space="preserve">3. </w:t>
      </w:r>
      <w:r w:rsidR="006D5030" w:rsidRPr="00EF21D5">
        <w:rPr>
          <w:rFonts w:ascii="Times New Roman" w:hAnsi="Times New Roman"/>
          <w:sz w:val="24"/>
          <w:szCs w:val="24"/>
        </w:rPr>
        <w:t xml:space="preserve">Dėl Dino </w:t>
      </w:r>
      <w:proofErr w:type="spellStart"/>
      <w:r w:rsidR="006D5030" w:rsidRPr="00EF21D5">
        <w:rPr>
          <w:rFonts w:ascii="Times New Roman" w:hAnsi="Times New Roman"/>
          <w:sz w:val="24"/>
          <w:szCs w:val="24"/>
        </w:rPr>
        <w:t>Dumbrio</w:t>
      </w:r>
      <w:proofErr w:type="spellEnd"/>
      <w:r w:rsidR="006D5030" w:rsidRPr="00EF21D5">
        <w:rPr>
          <w:rFonts w:ascii="Times New Roman" w:hAnsi="Times New Roman"/>
          <w:sz w:val="24"/>
          <w:szCs w:val="24"/>
        </w:rPr>
        <w:t xml:space="preserve"> ir kitų pareiškėjų peticijos </w:t>
      </w:r>
      <w:r w:rsidR="006D5030" w:rsidRPr="00EF21D5">
        <w:rPr>
          <w:rFonts w:ascii="Times New Roman" w:hAnsi="Times New Roman"/>
          <w:bCs/>
          <w:iCs/>
          <w:sz w:val="24"/>
          <w:szCs w:val="24"/>
        </w:rPr>
        <w:t>„</w:t>
      </w:r>
      <w:r w:rsidR="006D5030" w:rsidRPr="00EF21D5">
        <w:rPr>
          <w:rFonts w:ascii="Times New Roman" w:eastAsia="TimesNewRomanPSMT" w:hAnsi="Times New Roman"/>
          <w:sz w:val="24"/>
          <w:szCs w:val="24"/>
          <w:lang w:eastAsia="lt-LT"/>
        </w:rPr>
        <w:t>Dėl būtinybės priimti BVK 157 str. pataisą, kuri leistų nuteistiesiems, kurie buvo nuteisti iki BVK pakeitimo ir Probacijos įstatymo išleidimo, būti lygtinai paleistiems iš įkalinimo vietos pagal tais metais, kuriais jie buvo nuteisti galiojusį BVK“.</w:t>
      </w:r>
    </w:p>
    <w:p w:rsidR="00A20C31" w:rsidRPr="00EF21D5" w:rsidRDefault="00A20C31" w:rsidP="00EF21D5">
      <w:pPr>
        <w:spacing w:after="0"/>
        <w:ind w:firstLine="709"/>
        <w:jc w:val="both"/>
        <w:rPr>
          <w:rFonts w:ascii="Times New Roman" w:eastAsia="TimesNewRomanPSMT" w:hAnsi="Times New Roman"/>
          <w:sz w:val="24"/>
          <w:szCs w:val="24"/>
        </w:rPr>
      </w:pPr>
      <w:r w:rsidRPr="00EF21D5">
        <w:rPr>
          <w:rFonts w:ascii="Times New Roman" w:eastAsia="TimesNewRomanPSMT" w:hAnsi="Times New Roman"/>
          <w:sz w:val="24"/>
          <w:szCs w:val="24"/>
        </w:rPr>
        <w:t xml:space="preserve">4. </w:t>
      </w:r>
      <w:r w:rsidR="006D5030" w:rsidRPr="00EF21D5">
        <w:rPr>
          <w:rFonts w:ascii="Times New Roman" w:eastAsia="TimesNewRomanPSMT" w:hAnsi="Times New Roman"/>
          <w:sz w:val="24"/>
          <w:szCs w:val="24"/>
        </w:rPr>
        <w:t xml:space="preserve">Dėl Aleksandro </w:t>
      </w:r>
      <w:proofErr w:type="spellStart"/>
      <w:r w:rsidR="006D5030" w:rsidRPr="00EF21D5">
        <w:rPr>
          <w:rFonts w:ascii="Times New Roman" w:eastAsia="TimesNewRomanPSMT" w:hAnsi="Times New Roman"/>
          <w:sz w:val="24"/>
          <w:szCs w:val="24"/>
        </w:rPr>
        <w:t>Jegorovo</w:t>
      </w:r>
      <w:proofErr w:type="spellEnd"/>
      <w:r w:rsidR="006D5030" w:rsidRPr="00EF21D5">
        <w:rPr>
          <w:rFonts w:ascii="Times New Roman" w:eastAsia="TimesNewRomanPSMT" w:hAnsi="Times New Roman"/>
          <w:sz w:val="24"/>
          <w:szCs w:val="24"/>
        </w:rPr>
        <w:t xml:space="preserve"> prašymo </w:t>
      </w:r>
    </w:p>
    <w:p w:rsidR="00EF23FC" w:rsidRPr="00EF21D5" w:rsidRDefault="006D5030" w:rsidP="00EF21D5">
      <w:pPr>
        <w:spacing w:after="0"/>
        <w:rPr>
          <w:rFonts w:ascii="Times New Roman" w:eastAsia="TimesNewRomanPSMT" w:hAnsi="Times New Roman"/>
          <w:sz w:val="24"/>
          <w:szCs w:val="24"/>
        </w:rPr>
      </w:pPr>
      <w:r w:rsidRPr="00EF21D5">
        <w:rPr>
          <w:rFonts w:ascii="Times New Roman" w:eastAsia="TimesNewRomanPSMT" w:hAnsi="Times New Roman"/>
          <w:sz w:val="24"/>
          <w:szCs w:val="24"/>
        </w:rPr>
        <w:tab/>
      </w:r>
    </w:p>
    <w:p w:rsidR="009E0801" w:rsidRPr="00EF21D5" w:rsidRDefault="006D5030" w:rsidP="00EF21D5">
      <w:pPr>
        <w:tabs>
          <w:tab w:val="left" w:pos="4253"/>
        </w:tabs>
        <w:spacing w:after="0"/>
        <w:ind w:firstLine="709"/>
        <w:jc w:val="both"/>
        <w:rPr>
          <w:rFonts w:ascii="Times New Roman" w:eastAsia="TimesNewRomanPSMT" w:hAnsi="Times New Roman"/>
          <w:sz w:val="24"/>
          <w:szCs w:val="24"/>
        </w:rPr>
      </w:pPr>
      <w:r w:rsidRPr="00EF21D5">
        <w:rPr>
          <w:rFonts w:ascii="Times New Roman" w:eastAsia="TimesNewRomanPSMT" w:hAnsi="Times New Roman"/>
          <w:sz w:val="24"/>
          <w:szCs w:val="24"/>
        </w:rPr>
        <w:t>Pirmuoju klausimu buvo</w:t>
      </w:r>
      <w:r w:rsidR="009E0801" w:rsidRPr="00EF21D5">
        <w:rPr>
          <w:rFonts w:ascii="Times New Roman" w:hAnsi="Times New Roman"/>
          <w:sz w:val="24"/>
          <w:szCs w:val="24"/>
        </w:rPr>
        <w:t xml:space="preserve"> priimtas sprendimas atmesti Elenos Stankevičienės peticijoje</w:t>
      </w:r>
      <w:r w:rsidR="009E0801" w:rsidRPr="00EF21D5">
        <w:rPr>
          <w:rFonts w:ascii="Times New Roman" w:hAnsi="Times New Roman"/>
          <w:bCs/>
          <w:sz w:val="24"/>
          <w:szCs w:val="24"/>
        </w:rPr>
        <w:t xml:space="preserve"> </w:t>
      </w:r>
      <w:r w:rsidR="009E0801" w:rsidRPr="00EF21D5">
        <w:rPr>
          <w:rFonts w:ascii="Times New Roman" w:eastAsia="TimesNewRomanPSMT" w:hAnsi="Times New Roman"/>
          <w:sz w:val="24"/>
          <w:szCs w:val="24"/>
        </w:rPr>
        <w:t>„</w:t>
      </w:r>
      <w:r w:rsidR="009E0801" w:rsidRPr="00EF21D5">
        <w:rPr>
          <w:rFonts w:ascii="Times New Roman" w:hAnsi="Times New Roman"/>
          <w:sz w:val="24"/>
          <w:szCs w:val="24"/>
        </w:rPr>
        <w:t xml:space="preserve">Dėl Lietuvos Respublikos </w:t>
      </w:r>
      <w:r w:rsidR="009E0801" w:rsidRPr="00EF21D5">
        <w:rPr>
          <w:rFonts w:ascii="Times New Roman" w:hAnsi="Times New Roman"/>
          <w:bCs/>
          <w:sz w:val="24"/>
          <w:szCs w:val="24"/>
          <w:lang w:eastAsia="lt-LT"/>
        </w:rPr>
        <w:t>psichikos sveikatos priežiūros įstatymo papildymo“</w:t>
      </w:r>
      <w:r w:rsidR="009E0801" w:rsidRPr="00EF21D5">
        <w:rPr>
          <w:rFonts w:ascii="Times New Roman" w:hAnsi="Times New Roman"/>
          <w:sz w:val="24"/>
          <w:szCs w:val="24"/>
        </w:rPr>
        <w:t xml:space="preserve"> pateiktą pasiūlymą „Lietuvos Respublikos </w:t>
      </w:r>
      <w:r w:rsidR="009E0801" w:rsidRPr="00EF21D5">
        <w:rPr>
          <w:rFonts w:ascii="Times New Roman" w:hAnsi="Times New Roman"/>
          <w:bCs/>
          <w:sz w:val="24"/>
          <w:szCs w:val="24"/>
          <w:lang w:eastAsia="lt-LT"/>
        </w:rPr>
        <w:t>psichikos sveikatos priežiūros įstatymą papildyti Pacientų teisių ir žalos atlyginimo įstatymo 6 straipsnio 2 dalies ir 8 straipsnio 4 dalies nuostatomis“.</w:t>
      </w:r>
    </w:p>
    <w:p w:rsidR="009E0801" w:rsidRPr="00EF21D5" w:rsidRDefault="009E0801" w:rsidP="00EF21D5">
      <w:pPr>
        <w:pStyle w:val="Pagrindinistekstas1"/>
        <w:shd w:val="clear" w:color="auto" w:fill="auto"/>
        <w:spacing w:line="276" w:lineRule="auto"/>
        <w:ind w:firstLine="709"/>
        <w:rPr>
          <w:sz w:val="24"/>
          <w:szCs w:val="24"/>
        </w:rPr>
      </w:pPr>
      <w:r w:rsidRPr="00EF21D5">
        <w:rPr>
          <w:color w:val="000000"/>
          <w:sz w:val="24"/>
          <w:szCs w:val="24"/>
        </w:rPr>
        <w:t>Komisija tokį sprendimą priėmė, atsižvelgusi į Lietuvos Respublikos sveikatos apsaugos ministerijos ir Lietuvos Respublikos teisingumo ministerijos pateiktas nuomones ir į tai, kad Lietuvos Respublikos p</w:t>
      </w:r>
      <w:r w:rsidRPr="00EF21D5">
        <w:rPr>
          <w:rFonts w:eastAsiaTheme="minorHAnsi"/>
          <w:sz w:val="24"/>
          <w:szCs w:val="24"/>
        </w:rPr>
        <w:t xml:space="preserve">sichikos sveikatos priežiūros įstatymo reglamentavimas yra išsamus ir nuoseklus, todėl nėra jokio poreikio perkelti </w:t>
      </w:r>
      <w:r w:rsidRPr="00EF21D5">
        <w:rPr>
          <w:sz w:val="24"/>
          <w:szCs w:val="24"/>
        </w:rPr>
        <w:t xml:space="preserve">Lietuvos Respublikos pacientų teisių ir žalos sveikatai atlyginimo įstatymo (toliau – Pacientų įstatymas) </w:t>
      </w:r>
      <w:r w:rsidRPr="00EF21D5">
        <w:rPr>
          <w:rFonts w:eastAsiaTheme="minorHAnsi"/>
          <w:sz w:val="24"/>
          <w:szCs w:val="24"/>
        </w:rPr>
        <w:t>6 straipsnio 2 dalies nuostatas į Psichikos sveikatos priežiūros įstatymą.</w:t>
      </w:r>
      <w:r w:rsidRPr="00EF21D5">
        <w:rPr>
          <w:sz w:val="24"/>
          <w:szCs w:val="24"/>
        </w:rPr>
        <w:t xml:space="preserve"> Šiuo metu nustatytas teisinis reguliavimas iš esmės sudaro galimybę tretiesiems asmenims susipažinti su duomenų subjektų asmens duomenimis, esant išskirtinėms aplinkybėms.</w:t>
      </w:r>
    </w:p>
    <w:p w:rsidR="009E0801" w:rsidRPr="00EF21D5" w:rsidRDefault="009E0801" w:rsidP="00EF21D5">
      <w:pPr>
        <w:autoSpaceDE w:val="0"/>
        <w:autoSpaceDN w:val="0"/>
        <w:adjustRightInd w:val="0"/>
        <w:spacing w:after="0"/>
        <w:ind w:firstLine="709"/>
        <w:jc w:val="both"/>
        <w:rPr>
          <w:rFonts w:ascii="Times New Roman" w:hAnsi="Times New Roman"/>
          <w:sz w:val="24"/>
          <w:szCs w:val="24"/>
        </w:rPr>
      </w:pPr>
      <w:r w:rsidRPr="00EF21D5">
        <w:rPr>
          <w:rFonts w:ascii="Times New Roman" w:hAnsi="Times New Roman"/>
          <w:sz w:val="24"/>
          <w:szCs w:val="24"/>
        </w:rPr>
        <w:t xml:space="preserve">Psichikos sveikatos priežiūros įstatymas laikytinas specialiu įstatymu kitų įstatymų, taip pat ir Pacientų įstatymo, atžvilgiu. Pacientų įstatymo 5 straipsnio 4 dalyje numatyta, kad paciento psichikos ligonio teisės gauti informaciją ypatumus ir paciento psichikos ligonio teisės susipažinti su paciento medicinos dokumentais ypatumus nustato Psichikos sveikatos priežiūros įstatymas (7 straipsnio 3 dalis). Esant bendrų ir specialių teisės normų konkurencijai, turėtų būti taikomos specialaus teisės akto nuostatos, ir tik tais atvejais, kai tam tikrų teisinių santykių specialaus teisinio reguliavimo nėra, gali būti taikomos bendros, tai yra visoms pacientų kategorijoms taikytinos teisės normos. Psichikos sveikatos priežiūros įstatymo 14 straipsnyje yra nustatyta, kad </w:t>
      </w:r>
      <w:r w:rsidRPr="00EF21D5">
        <w:rPr>
          <w:rFonts w:ascii="Times New Roman" w:hAnsi="Times New Roman"/>
          <w:iCs/>
          <w:sz w:val="24"/>
          <w:szCs w:val="24"/>
        </w:rPr>
        <w:t>pacientai turi teisę į informacijos apie jų sveikatą konfidencialumą. Psichiatras, kitos specialybės gydytojas</w:t>
      </w:r>
      <w:r w:rsidRPr="00EF21D5">
        <w:rPr>
          <w:rFonts w:ascii="Times New Roman" w:hAnsi="Times New Roman"/>
          <w:b/>
          <w:bCs/>
          <w:sz w:val="24"/>
          <w:szCs w:val="24"/>
        </w:rPr>
        <w:t xml:space="preserve">, </w:t>
      </w:r>
      <w:r w:rsidRPr="00EF21D5">
        <w:rPr>
          <w:rFonts w:ascii="Times New Roman" w:hAnsi="Times New Roman"/>
          <w:iCs/>
          <w:sz w:val="24"/>
          <w:szCs w:val="24"/>
        </w:rPr>
        <w:t xml:space="preserve">slaugytojas ir kitas personalas, sveikatos priežiūros įstaigos administracija privalo užtikrinti šią paciento teisę, vadovaudamiesi Lietuvos Respublikos įstatymais ir medicinos etikos reikalavimais. Informacija kitiems asmenims apie pacientų sveikatos būklę pateikiama Lietuvos Respublikos įstatymų nustatyta tvarka. </w:t>
      </w:r>
      <w:r w:rsidRPr="00EF21D5">
        <w:rPr>
          <w:rFonts w:ascii="Times New Roman" w:hAnsi="Times New Roman"/>
          <w:sz w:val="24"/>
          <w:szCs w:val="24"/>
        </w:rPr>
        <w:t>Darytina išvada, kad tiek, kiek informacijos teikimo ypatumų nereglamentuoja Psichikos sveikatos priežiūros įstatymas, konfidencialios informacijos teikimą reglamentuoja kiti įstatymai, o konkrečiai – Pacientų įstatymas, todėl pareiškėjos nurodyta 8 straipsnio 4 dalies nuostata gali būti taikoma, ir neperkėlus jos į Psichikos sveikatos priežiūros įstatymą.</w:t>
      </w:r>
    </w:p>
    <w:p w:rsidR="009E0801" w:rsidRPr="00EF21D5" w:rsidRDefault="009E0801" w:rsidP="00EF21D5">
      <w:pPr>
        <w:autoSpaceDE w:val="0"/>
        <w:autoSpaceDN w:val="0"/>
        <w:adjustRightInd w:val="0"/>
        <w:spacing w:after="0"/>
        <w:ind w:firstLine="709"/>
        <w:jc w:val="both"/>
        <w:rPr>
          <w:rFonts w:ascii="Times New Roman" w:hAnsi="Times New Roman"/>
          <w:sz w:val="24"/>
          <w:szCs w:val="24"/>
        </w:rPr>
      </w:pPr>
      <w:r w:rsidRPr="00EF21D5">
        <w:rPr>
          <w:rFonts w:ascii="Times New Roman" w:hAnsi="Times New Roman"/>
          <w:sz w:val="24"/>
          <w:szCs w:val="24"/>
        </w:rPr>
        <w:lastRenderedPageBreak/>
        <w:t xml:space="preserve">Psichikos sveikatos priežiūros įstatymo 15 straipsnyje nustatyta, kad </w:t>
      </w:r>
      <w:r w:rsidRPr="00EF21D5">
        <w:rPr>
          <w:rFonts w:ascii="Times New Roman" w:hAnsi="Times New Roman"/>
          <w:iCs/>
          <w:sz w:val="24"/>
          <w:szCs w:val="24"/>
        </w:rPr>
        <w:t>psichiatras privalo informuoti pacientą jam suprantama forma</w:t>
      </w:r>
      <w:r w:rsidRPr="00EF21D5">
        <w:rPr>
          <w:rFonts w:ascii="Times New Roman" w:hAnsi="Times New Roman"/>
          <w:b/>
          <w:bCs/>
          <w:sz w:val="24"/>
          <w:szCs w:val="24"/>
        </w:rPr>
        <w:t xml:space="preserve">, </w:t>
      </w:r>
      <w:r w:rsidRPr="00EF21D5">
        <w:rPr>
          <w:rFonts w:ascii="Times New Roman" w:hAnsi="Times New Roman"/>
          <w:iCs/>
          <w:sz w:val="24"/>
          <w:szCs w:val="24"/>
        </w:rPr>
        <w:t>paaiškindamas specialius terminus apie jo sveikatos būklę</w:t>
      </w:r>
      <w:r w:rsidRPr="00EF21D5">
        <w:rPr>
          <w:rFonts w:ascii="Times New Roman" w:hAnsi="Times New Roman"/>
          <w:bCs/>
          <w:sz w:val="24"/>
          <w:szCs w:val="24"/>
        </w:rPr>
        <w:t xml:space="preserve">, </w:t>
      </w:r>
      <w:r w:rsidRPr="00EF21D5">
        <w:rPr>
          <w:rFonts w:ascii="Times New Roman" w:hAnsi="Times New Roman"/>
          <w:iCs/>
          <w:sz w:val="24"/>
          <w:szCs w:val="24"/>
        </w:rPr>
        <w:t xml:space="preserve">ligos diagnozę, galimus gydymo būdus, gydymo prognozę bei kitas aplinkybes, kurios gali turėti įtakos paciento apsisprendimui sutikti gydytis ar atsisakyti siūlomo gydymo, taip pat apie pasekmes, jei siūlomo gydymo atsisakytų. Pacientas turi teisę susipažinti su savo medicinos dokumentais, medicinos dokumentų ištraukomis. Ši informacija pacientui gali būti neteikiama tik tais atvejais, jeigu ji pakenktų paciento sveikatai ar net sukeltų pavojų jo gyvybei. Dėl apribojimų pacientui gauti šio straipsnio 1 dalyje numatytą informaciją arba susipažinti su jo medicinos dokumentais bei medicinos dokumentų ištraukomis sprendžia psichiatras ir pažymi tai paciento medicinos dokumentuose. Tokiais atvejais, kai paciento teisė gauti šio straipsnio </w:t>
      </w:r>
      <w:r w:rsidRPr="00EF21D5">
        <w:rPr>
          <w:rFonts w:ascii="Times New Roman" w:hAnsi="Times New Roman"/>
          <w:bCs/>
          <w:sz w:val="24"/>
          <w:szCs w:val="24"/>
        </w:rPr>
        <w:t>1</w:t>
      </w:r>
      <w:r w:rsidRPr="00EF21D5">
        <w:rPr>
          <w:rFonts w:ascii="Times New Roman" w:hAnsi="Times New Roman"/>
          <w:b/>
          <w:bCs/>
          <w:sz w:val="24"/>
          <w:szCs w:val="24"/>
        </w:rPr>
        <w:t xml:space="preserve"> </w:t>
      </w:r>
      <w:r w:rsidRPr="00EF21D5">
        <w:rPr>
          <w:rFonts w:ascii="Times New Roman" w:hAnsi="Times New Roman"/>
          <w:iCs/>
          <w:sz w:val="24"/>
          <w:szCs w:val="24"/>
        </w:rPr>
        <w:t>dalyje numatytą informaciją susipažinti su savo medicinos dokumentais, medicinos dokumentų ištraukomis yra ribojama</w:t>
      </w:r>
      <w:r w:rsidRPr="00EF21D5">
        <w:rPr>
          <w:rFonts w:ascii="Times New Roman" w:hAnsi="Times New Roman"/>
          <w:bCs/>
          <w:sz w:val="24"/>
          <w:szCs w:val="24"/>
        </w:rPr>
        <w:t>,</w:t>
      </w:r>
      <w:r w:rsidRPr="00EF21D5">
        <w:rPr>
          <w:rFonts w:ascii="Times New Roman" w:hAnsi="Times New Roman"/>
          <w:b/>
          <w:bCs/>
          <w:sz w:val="24"/>
          <w:szCs w:val="24"/>
        </w:rPr>
        <w:t xml:space="preserve"> </w:t>
      </w:r>
      <w:r w:rsidRPr="00EF21D5">
        <w:rPr>
          <w:rFonts w:ascii="Times New Roman" w:hAnsi="Times New Roman"/>
          <w:iCs/>
          <w:sz w:val="24"/>
          <w:szCs w:val="24"/>
        </w:rPr>
        <w:t>taip pat Civilinio kodekso 6.728 straipsnyje numatytais atvejais atitinkama informacija pateikiama paciento atstovui. Informacija pateikiama pacientui iš karto, kai išnyksta pavojus, kad jos pateikimas pacientui gali sąlygoti minėtą žalą. Medicinos dokumentų ištraukos parengiamos taip, kad nepakenktų kitų asmenų interesams. Pareikalavus pacientui arba jo atstovui</w:t>
      </w:r>
      <w:r w:rsidRPr="00EF21D5">
        <w:rPr>
          <w:rFonts w:ascii="Times New Roman" w:hAnsi="Times New Roman"/>
          <w:b/>
          <w:bCs/>
          <w:sz w:val="24"/>
          <w:szCs w:val="24"/>
        </w:rPr>
        <w:t xml:space="preserve">, </w:t>
      </w:r>
      <w:r w:rsidRPr="00EF21D5">
        <w:rPr>
          <w:rFonts w:ascii="Times New Roman" w:hAnsi="Times New Roman"/>
          <w:iCs/>
          <w:sz w:val="24"/>
          <w:szCs w:val="24"/>
        </w:rPr>
        <w:t>jos pateikiamos per 3 darbo dienas. Atstovas turi teisę susipažinti ir su kitais medicinos dokumentais, tiesiogiai susijusiais su atstovaujamo asmens interesais. Gydantis psichiatras ar psichiatrijos įstaigos administracija tokią informaciją ir dokumentus turi pateikti atstovui nedelsdami. Jeigu pacientas yra nepilnametis, informacija turi būti pateikiama ir jo tėvams ar globėjams (rūpintojams).</w:t>
      </w:r>
    </w:p>
    <w:p w:rsidR="009E0801" w:rsidRPr="00EF21D5" w:rsidRDefault="009E0801" w:rsidP="00EF21D5">
      <w:pPr>
        <w:pStyle w:val="Pagrindinistekstas1"/>
        <w:shd w:val="clear" w:color="auto" w:fill="auto"/>
        <w:spacing w:line="276" w:lineRule="auto"/>
        <w:ind w:firstLine="851"/>
        <w:rPr>
          <w:sz w:val="24"/>
          <w:szCs w:val="24"/>
        </w:rPr>
      </w:pPr>
      <w:r w:rsidRPr="00EF21D5">
        <w:rPr>
          <w:sz w:val="24"/>
          <w:szCs w:val="24"/>
        </w:rPr>
        <w:t>Psichikos sveikatos priežiūros įstatymo 23 straipsnis numato, kad pirminį asmens psichikos būklės patikrinimą ir įvertinimą psichiatras gali atlikti pagrįstai įtardamas sunkią psichikos ligą, kurios požymiai yra nurodyti šio įstatymo 27 straipsnyje. Pirminis asmens psichikos patikrinimas atliekamas Sveikatos apsaugos ministerijos nustatyta tvarka. Dėl asmens pirminio apžiūrėjimo gali kreiptis gydytojas, paciento atstovas, artimieji, policija. Šio įstatymo 27 straipsnis numato, kad asmuo, sergąs sunkia psichikos liga ir atsisakąs hospitalizavimo, gali būti hospitalizuojamas prievarta tik jeigu yra reali grėsmė, kad jis savo veiksmais gali padaryti esminę žalą savo sveikatai, gyvybei ar aplinkinių sveikatai, gyvybei. Šio įstatymo 1 straipsnio 2 dalyje nustatyta, kad pacientu laikomas tas asmuo, kuris yra psichikos ligonis ar kiekvienas kitas asmuo, kuris naudojasi psichikos sveikatos priežiūra.</w:t>
      </w:r>
    </w:p>
    <w:p w:rsidR="009E0801" w:rsidRPr="00EF21D5" w:rsidRDefault="009E0801" w:rsidP="00EF21D5">
      <w:pPr>
        <w:pStyle w:val="Pagrindinistekstas1"/>
        <w:shd w:val="clear" w:color="auto" w:fill="auto"/>
        <w:spacing w:line="276" w:lineRule="auto"/>
        <w:ind w:right="20" w:firstLine="851"/>
        <w:rPr>
          <w:sz w:val="24"/>
          <w:szCs w:val="24"/>
        </w:rPr>
      </w:pPr>
      <w:r w:rsidRPr="00EF21D5">
        <w:rPr>
          <w:sz w:val="24"/>
          <w:szCs w:val="24"/>
        </w:rPr>
        <w:t xml:space="preserve">Pacientų įstatymo 8 straipsnio 1 dalyje yra nustatyta, kad paciento privatus gyvenimas yra neliečiamas. Informacija apie paciento gyvenimo faktus gali būti renkama tik su paciento sutikimu ir tuo atveju, jei tai yra būtina ligai diagnozuoti, gydyti ar pacientui slaugyti. Šio straipsnio 4 dalyje nustatyta, kad konfidenciali informacija gali būti suteikiama </w:t>
      </w:r>
      <w:r w:rsidRPr="00EF21D5">
        <w:rPr>
          <w:rStyle w:val="BodytextItalic"/>
        </w:rPr>
        <w:t>kitiems asmenims tik turint rašytinį paciento sutikimą,</w:t>
      </w:r>
      <w:r w:rsidRPr="00EF21D5">
        <w:rPr>
          <w:sz w:val="24"/>
          <w:szCs w:val="24"/>
        </w:rPr>
        <w:t xml:space="preserve"> kuriame yra nurodyta tokios informacijos suteikimo pagrindas ir naudojimo tikslai, išskyrus atvejus, kai pacientas medicinos dokumentuose yra pasirašytinai nurodęs, koks konkretus asmuo turi teisę gauti tokią informaciją, taip pat tokios informacijos teikimo mastą ir terminus. Pacientas turi teisę nurodyti asmenis, kuriems konfidenciali informacija negali būti teikiama. Asmenims, tiesiogiai dalyvaujantiems gydant ar slaugant pacientą, atliekantiems paciento sveikatos ekspertizę, be paciento sutikimo konfidenciali informacija gali būti suteikiama tais atvejais ir tiek, kiek tai būtina paciento interesams apsaugoti. </w:t>
      </w:r>
      <w:r w:rsidRPr="00EF21D5">
        <w:rPr>
          <w:rStyle w:val="BodytextItalic"/>
        </w:rPr>
        <w:t xml:space="preserve">Kai pacientas laikomas negalinčiu protingai vertinti savo interesų ir nėra jo sutikimo, konfidenciali informacija gali būti </w:t>
      </w:r>
      <w:r w:rsidRPr="00EF21D5">
        <w:rPr>
          <w:rStyle w:val="BodytextItalic"/>
        </w:rPr>
        <w:lastRenderedPageBreak/>
        <w:t>suteikiama paciento atstovui, sutuoktiniui (partneriui), tėvams (įtėviams) ar pilnamečiams vaikams tiek, kiek tai būtina paciento interesams apsaugoti.</w:t>
      </w:r>
      <w:r w:rsidRPr="00EF21D5">
        <w:rPr>
          <w:sz w:val="24"/>
          <w:szCs w:val="24"/>
        </w:rPr>
        <w:t xml:space="preserve"> </w:t>
      </w:r>
    </w:p>
    <w:p w:rsidR="004B6F47" w:rsidRPr="00EF21D5" w:rsidRDefault="003F2F12" w:rsidP="00EF21D5">
      <w:pPr>
        <w:spacing w:after="0"/>
        <w:ind w:firstLine="720"/>
        <w:jc w:val="both"/>
        <w:rPr>
          <w:rFonts w:ascii="Times New Roman" w:eastAsia="TimesNewRomanPSMT" w:hAnsi="Times New Roman"/>
          <w:sz w:val="24"/>
          <w:szCs w:val="24"/>
        </w:rPr>
      </w:pPr>
      <w:r w:rsidRPr="00EF21D5">
        <w:rPr>
          <w:rFonts w:ascii="Times New Roman" w:hAnsi="Times New Roman" w:cs="Times New Roman"/>
          <w:sz w:val="24"/>
          <w:szCs w:val="24"/>
        </w:rPr>
        <w:t>Antruoju klausimu buvo priimtas sprendimas</w:t>
      </w:r>
      <w:r w:rsidR="004B6F47" w:rsidRPr="00EF21D5">
        <w:rPr>
          <w:rFonts w:ascii="Times New Roman" w:hAnsi="Times New Roman"/>
          <w:sz w:val="24"/>
          <w:szCs w:val="24"/>
        </w:rPr>
        <w:t xml:space="preserve"> atmesti Aido Kazlausko peticijoje</w:t>
      </w:r>
      <w:r w:rsidR="004B6F47" w:rsidRPr="00EF21D5">
        <w:rPr>
          <w:rFonts w:ascii="Times New Roman" w:hAnsi="Times New Roman"/>
          <w:bCs/>
          <w:sz w:val="24"/>
          <w:szCs w:val="24"/>
        </w:rPr>
        <w:t xml:space="preserve"> </w:t>
      </w:r>
      <w:r w:rsidR="004B6F47" w:rsidRPr="00EF21D5">
        <w:rPr>
          <w:rFonts w:ascii="Times New Roman" w:eastAsia="TimesNewRomanPSMT" w:hAnsi="Times New Roman"/>
          <w:sz w:val="24"/>
          <w:szCs w:val="24"/>
        </w:rPr>
        <w:t xml:space="preserve">„Dėl Lietuvos Respublikos bausmių vykdymo kodekso 96 straipsnio 1 dalies pakeitimo“ </w:t>
      </w:r>
      <w:r w:rsidR="004B6F47" w:rsidRPr="00EF21D5">
        <w:rPr>
          <w:rFonts w:ascii="Times New Roman" w:hAnsi="Times New Roman"/>
          <w:sz w:val="24"/>
          <w:szCs w:val="24"/>
        </w:rPr>
        <w:t xml:space="preserve">pateiktą pasiūlymą </w:t>
      </w:r>
      <w:r w:rsidR="004B6F47" w:rsidRPr="00EF21D5">
        <w:rPr>
          <w:rFonts w:ascii="Times New Roman" w:eastAsia="TimesNewRomanPSMT" w:hAnsi="Times New Roman"/>
          <w:sz w:val="24"/>
          <w:szCs w:val="24"/>
        </w:rPr>
        <w:t>Bausmių vykdymo kodekso 96 straipsnio 1 dalį papildyti žodžiais „pažįstamų ar draugų“.</w:t>
      </w:r>
    </w:p>
    <w:p w:rsidR="004B6F47" w:rsidRPr="00EF21D5" w:rsidRDefault="004B6F47" w:rsidP="00EF21D5">
      <w:pPr>
        <w:spacing w:after="0"/>
        <w:ind w:firstLine="720"/>
        <w:jc w:val="both"/>
        <w:rPr>
          <w:rFonts w:ascii="Times New Roman" w:eastAsia="Times New Roman" w:hAnsi="Times New Roman"/>
          <w:bCs/>
          <w:sz w:val="24"/>
          <w:szCs w:val="24"/>
        </w:rPr>
      </w:pPr>
      <w:r w:rsidRPr="00EF21D5">
        <w:rPr>
          <w:rFonts w:ascii="Times New Roman" w:hAnsi="Times New Roman"/>
          <w:color w:val="000000"/>
          <w:sz w:val="24"/>
          <w:szCs w:val="24"/>
        </w:rPr>
        <w:t xml:space="preserve">Komisija tokį sprendimą priėmė, atsižvelgusi į Lietuvos Respublikos teisingumo ministerijos pateiktą nuomonę ir į tai, kad </w:t>
      </w:r>
      <w:r w:rsidRPr="00EF21D5">
        <w:rPr>
          <w:rFonts w:ascii="Times New Roman" w:eastAsia="Times New Roman" w:hAnsi="Times New Roman"/>
          <w:bCs/>
          <w:sz w:val="24"/>
          <w:szCs w:val="24"/>
        </w:rPr>
        <w:t xml:space="preserve">įgyvendinus pareiškėjo siūlymą, iš esmės bet kuris asmuo turėtų teisę perduoti nuteistiesiems Bausmių vykdymo kodekso (toliau – BVK) 96 straipsnio 1 dalyje nurodytus daiktus, kadangi sąvokos „draugai“ ir „pažįstami“ nėra teisiškai apibrėžtos. Šiuo metu galiojantis teisinis reguliavimas, pagal kurį nuteistiesiems perduoti minėtus daiktus gali ne bet kas, o tik jų sutuoktiniai, sugyventiniai ar artimieji giminaičiai, jiems pateikus asmens tapatybės dokumentą ir dokumentus, leidžiančius nustatyti teisinį asmens santykį su nuteistuoju, iš dalies užtikrina, kad pas nuteistuosius nepatektų nusikalstamu būdu įsigyti elektros prietaisai, pavyzdžiui, kai juos perduoda laisvėje esantys nuteistojo bendrininkai. </w:t>
      </w:r>
    </w:p>
    <w:p w:rsidR="004B6F47" w:rsidRPr="00EF21D5" w:rsidRDefault="004B6F47" w:rsidP="00EF21D5">
      <w:pPr>
        <w:pStyle w:val="Sraopastraipa"/>
        <w:tabs>
          <w:tab w:val="left" w:pos="1276"/>
        </w:tabs>
        <w:spacing w:after="0"/>
        <w:ind w:left="0" w:firstLine="851"/>
        <w:jc w:val="both"/>
        <w:rPr>
          <w:rFonts w:ascii="Times New Roman" w:eastAsia="Times New Roman" w:hAnsi="Times New Roman" w:cs="Times New Roman"/>
          <w:bCs/>
          <w:sz w:val="24"/>
          <w:szCs w:val="24"/>
        </w:rPr>
      </w:pPr>
      <w:r w:rsidRPr="00EF21D5">
        <w:rPr>
          <w:rFonts w:ascii="Times New Roman" w:eastAsia="Times New Roman" w:hAnsi="Times New Roman" w:cs="Times New Roman"/>
          <w:bCs/>
          <w:sz w:val="24"/>
          <w:szCs w:val="24"/>
        </w:rPr>
        <w:t xml:space="preserve">Pažymėtina, kad nuteistieji turi teisę įsigyti jiems reikalingų elektros prietaisų ir kitų daiktų pataisos įstaigose veikiančiose parduotuvėse, o, jei neturi tam reikalingų lėšų, vadovaujantis BVK 125 straipsniu, gali dirbti pataisos įstaigos administracijos pasiūlytą darbą. Be to, bet kuris asmuo turi teisę į pataisos įstaigoje esančią nuteistojo asmeninę sąskaitą pervesti pinigines lėšas. </w:t>
      </w:r>
    </w:p>
    <w:p w:rsidR="004B6F47" w:rsidRPr="00EF21D5" w:rsidRDefault="004B6F47" w:rsidP="00EF21D5">
      <w:pPr>
        <w:spacing w:after="0"/>
        <w:ind w:firstLine="709"/>
        <w:jc w:val="both"/>
        <w:rPr>
          <w:rFonts w:ascii="Times New Roman" w:hAnsi="Times New Roman" w:cs="Times New Roman"/>
          <w:sz w:val="24"/>
          <w:szCs w:val="24"/>
        </w:rPr>
      </w:pPr>
      <w:r w:rsidRPr="00EF21D5">
        <w:rPr>
          <w:rFonts w:ascii="Times New Roman" w:eastAsia="Times New Roman" w:hAnsi="Times New Roman"/>
          <w:bCs/>
          <w:sz w:val="24"/>
          <w:szCs w:val="24"/>
        </w:rPr>
        <w:t xml:space="preserve">Pažymėtina ir tai, kad pataisos įstaigos turi teisę Lietuvos Respublikos </w:t>
      </w:r>
      <w:bookmarkStart w:id="0" w:name="n1_217"/>
      <w:r w:rsidRPr="00EF21D5">
        <w:rPr>
          <w:rFonts w:ascii="Times New Roman" w:eastAsia="Times New Roman" w:hAnsi="Times New Roman"/>
          <w:bCs/>
          <w:sz w:val="24"/>
          <w:szCs w:val="24"/>
        </w:rPr>
        <w:t>labdaros ir paramos įstatym</w:t>
      </w:r>
      <w:bookmarkEnd w:id="0"/>
      <w:r w:rsidRPr="00EF21D5">
        <w:rPr>
          <w:rFonts w:ascii="Times New Roman" w:eastAsia="Times New Roman" w:hAnsi="Times New Roman"/>
          <w:bCs/>
          <w:sz w:val="24"/>
          <w:szCs w:val="24"/>
        </w:rPr>
        <w:t xml:space="preserve">o nustatyta tvarka priimti labdarą ir paramą. Išimtiniais atvejais, pataisos įstaigų administracija paprastai leidžia ir kitiems asmenims (jeigu nuteistasis neturi sutuoktinio, sugyventinio ar artimųjų giminaičių) perduoti nuteistiesiems jiems reikalingus </w:t>
      </w:r>
      <w:r w:rsidRPr="00EF21D5">
        <w:rPr>
          <w:rFonts w:ascii="Times New Roman" w:eastAsia="Times New Roman" w:hAnsi="Times New Roman" w:cs="Times New Roman"/>
          <w:bCs/>
          <w:sz w:val="24"/>
          <w:szCs w:val="24"/>
        </w:rPr>
        <w:t>daiktus.</w:t>
      </w:r>
    </w:p>
    <w:p w:rsidR="00982DC9" w:rsidRPr="00EF21D5" w:rsidRDefault="004B6F47" w:rsidP="00EF21D5">
      <w:pPr>
        <w:spacing w:after="0"/>
        <w:ind w:firstLine="709"/>
        <w:jc w:val="both"/>
        <w:rPr>
          <w:sz w:val="24"/>
          <w:szCs w:val="24"/>
        </w:rPr>
      </w:pPr>
      <w:r w:rsidRPr="00EF21D5">
        <w:rPr>
          <w:rFonts w:ascii="Times New Roman" w:hAnsi="Times New Roman" w:cs="Times New Roman"/>
          <w:sz w:val="24"/>
          <w:szCs w:val="24"/>
        </w:rPr>
        <w:t xml:space="preserve">Trečiuoju klausimu </w:t>
      </w:r>
      <w:r w:rsidR="00B53A8C" w:rsidRPr="00EF21D5">
        <w:rPr>
          <w:rFonts w:ascii="Times New Roman" w:hAnsi="Times New Roman" w:cs="Times New Roman"/>
          <w:sz w:val="24"/>
          <w:szCs w:val="24"/>
        </w:rPr>
        <w:t xml:space="preserve">buvo nuspręsta Dino </w:t>
      </w:r>
      <w:proofErr w:type="spellStart"/>
      <w:r w:rsidR="00B53A8C" w:rsidRPr="00EF21D5">
        <w:rPr>
          <w:rFonts w:ascii="Times New Roman" w:hAnsi="Times New Roman" w:cs="Times New Roman"/>
          <w:sz w:val="24"/>
          <w:szCs w:val="24"/>
        </w:rPr>
        <w:t>Dumbrio</w:t>
      </w:r>
      <w:proofErr w:type="spellEnd"/>
      <w:r w:rsidR="00B53A8C" w:rsidRPr="00EF21D5">
        <w:rPr>
          <w:rFonts w:ascii="Times New Roman" w:hAnsi="Times New Roman" w:cs="Times New Roman"/>
          <w:sz w:val="24"/>
          <w:szCs w:val="24"/>
        </w:rPr>
        <w:t xml:space="preserve"> ir kitų pareiškėjų peticijos </w:t>
      </w:r>
      <w:r w:rsidR="00B53A8C" w:rsidRPr="00EF21D5">
        <w:rPr>
          <w:rFonts w:ascii="Times New Roman" w:hAnsi="Times New Roman" w:cs="Times New Roman"/>
          <w:bCs/>
          <w:iCs/>
          <w:sz w:val="24"/>
          <w:szCs w:val="24"/>
        </w:rPr>
        <w:t>„</w:t>
      </w:r>
      <w:r w:rsidR="00B53A8C" w:rsidRPr="00EF21D5">
        <w:rPr>
          <w:rFonts w:ascii="Times New Roman" w:eastAsia="TimesNewRomanPSMT" w:hAnsi="Times New Roman" w:cs="Times New Roman"/>
          <w:sz w:val="24"/>
          <w:szCs w:val="24"/>
          <w:lang w:eastAsia="lt-LT"/>
        </w:rPr>
        <w:t>Dėl būtinybės priimti BVK 157 str. pataisą, kuri leistų nuteistiesiems, kurie buvo nuteisti iki BVK pakeitimo ir Probacijos įstatymo išleidimo, būti lygtinai paleistiems</w:t>
      </w:r>
      <w:r w:rsidR="00B53A8C" w:rsidRPr="00EF21D5">
        <w:rPr>
          <w:rFonts w:ascii="Times New Roman" w:eastAsia="TimesNewRomanPSMT" w:hAnsi="Times New Roman"/>
          <w:sz w:val="24"/>
          <w:szCs w:val="24"/>
          <w:lang w:eastAsia="lt-LT"/>
        </w:rPr>
        <w:t xml:space="preserve"> iš įkalinimo vietos pagal tais metais, kuriais jie buvo nuteisti galiojusį BVK“ nenagrinėti Lietuvos Respublikos peticijų įstatymo nustatyta tvarka, nes </w:t>
      </w:r>
      <w:r w:rsidR="00505F24" w:rsidRPr="00EF21D5">
        <w:rPr>
          <w:rFonts w:ascii="Times New Roman" w:eastAsia="TimesNewRomanPSMT" w:hAnsi="Times New Roman"/>
          <w:sz w:val="24"/>
          <w:szCs w:val="24"/>
          <w:lang w:eastAsia="lt-LT"/>
        </w:rPr>
        <w:t>ši peti</w:t>
      </w:r>
      <w:r w:rsidR="00B53A8C" w:rsidRPr="00EF21D5">
        <w:rPr>
          <w:rFonts w:ascii="Times New Roman" w:eastAsia="TimesNewRomanPSMT" w:hAnsi="Times New Roman"/>
          <w:sz w:val="24"/>
          <w:szCs w:val="24"/>
          <w:lang w:eastAsia="lt-LT"/>
        </w:rPr>
        <w:t>c</w:t>
      </w:r>
      <w:r w:rsidR="00505F24" w:rsidRPr="00EF21D5">
        <w:rPr>
          <w:rFonts w:ascii="Times New Roman" w:eastAsia="TimesNewRomanPSMT" w:hAnsi="Times New Roman"/>
          <w:sz w:val="24"/>
          <w:szCs w:val="24"/>
          <w:lang w:eastAsia="lt-LT"/>
        </w:rPr>
        <w:t>i</w:t>
      </w:r>
      <w:r w:rsidR="00B53A8C" w:rsidRPr="00EF21D5">
        <w:rPr>
          <w:rFonts w:ascii="Times New Roman" w:eastAsia="TimesNewRomanPSMT" w:hAnsi="Times New Roman"/>
          <w:sz w:val="24"/>
          <w:szCs w:val="24"/>
          <w:lang w:eastAsia="lt-LT"/>
        </w:rPr>
        <w:t>ja</w:t>
      </w:r>
      <w:r w:rsidR="00B53A8C" w:rsidRPr="00EF21D5">
        <w:rPr>
          <w:rFonts w:ascii="Times New Roman" w:hAnsi="Times New Roman"/>
          <w:sz w:val="24"/>
          <w:szCs w:val="24"/>
        </w:rPr>
        <w:t xml:space="preserve"> parašyta ir paduota, nesilaikant Peticijų įstatymo nustatytų re</w:t>
      </w:r>
      <w:r w:rsidR="00982DC9" w:rsidRPr="00EF21D5">
        <w:rPr>
          <w:rFonts w:ascii="Times New Roman" w:hAnsi="Times New Roman"/>
          <w:sz w:val="24"/>
          <w:szCs w:val="24"/>
        </w:rPr>
        <w:t>ikalavimų: nėra nurodytas pareiškėjų atstovo vardas, pavardė, asmens kodas, gyvenamoji vieta, nurodytas netikslus pareiškėjų adresas, taip pat neaiškiai ir nekonkrečiai suformuluotas pasiūlymas. Peticijoje prašoma, „</w:t>
      </w:r>
      <w:r w:rsidR="00982DC9" w:rsidRPr="00EF21D5">
        <w:rPr>
          <w:rFonts w:ascii="Times New Roman" w:eastAsia="TimesNewRomanPSMT" w:hAnsi="Times New Roman"/>
          <w:sz w:val="24"/>
          <w:szCs w:val="24"/>
          <w:lang w:eastAsia="lt-LT"/>
        </w:rPr>
        <w:t xml:space="preserve">kad būtų priimtos įstatymo pataisos, leidžiančios nuteistiesiems, kurie buvo nuteisti prieš pasikeičiant BVK ir įsigaliojant Probacijos įstatymui būti lygtinai paleistiems pagal tuo metu galiojusį BVK 157 str. 3 d. 2 p.“, tačiau konkrečiai neišdėstoma, už kokius nusikaltimus ir kiek paskirtos laisvės atėmimo bausmės atlikus nuteistieji galėtų būti paleisti iš pataisos įstaigų. Taip pat yra neaišku, kokius </w:t>
      </w:r>
      <w:r w:rsidR="00982DC9" w:rsidRPr="00EF21D5">
        <w:rPr>
          <w:rFonts w:ascii="Times New Roman" w:eastAsia="TimesNewRomanPSMT" w:hAnsi="Times New Roman"/>
          <w:sz w:val="24"/>
          <w:szCs w:val="24"/>
        </w:rPr>
        <w:t>Lietuvos Respublikos b</w:t>
      </w:r>
      <w:r w:rsidR="00982DC9" w:rsidRPr="00EF21D5">
        <w:rPr>
          <w:rFonts w:ascii="Times New Roman" w:hAnsi="Times New Roman"/>
          <w:sz w:val="24"/>
          <w:szCs w:val="24"/>
        </w:rPr>
        <w:t>ausmių vykdymo kodekso (toliau – BVK) pakeitimus pareiškėjai turi omenyje.</w:t>
      </w:r>
    </w:p>
    <w:p w:rsidR="00982DC9" w:rsidRPr="00EF21D5" w:rsidRDefault="00982DC9" w:rsidP="00EF21D5">
      <w:pPr>
        <w:spacing w:after="0"/>
        <w:ind w:firstLine="851"/>
        <w:jc w:val="both"/>
        <w:rPr>
          <w:rFonts w:ascii="Times New Roman" w:hAnsi="Times New Roman"/>
          <w:sz w:val="24"/>
          <w:szCs w:val="24"/>
        </w:rPr>
      </w:pPr>
      <w:r w:rsidRPr="00EF21D5">
        <w:rPr>
          <w:rFonts w:ascii="Times New Roman" w:eastAsia="TimesNewRomanPSMT" w:hAnsi="Times New Roman"/>
          <w:sz w:val="24"/>
          <w:szCs w:val="24"/>
        </w:rPr>
        <w:t>Komisija taip pat nusprendė informuoti pareiškėjus apie tai, kad, kad</w:t>
      </w:r>
      <w:r w:rsidRPr="00EF21D5">
        <w:rPr>
          <w:rFonts w:ascii="Times New Roman" w:hAnsi="Times New Roman"/>
          <w:sz w:val="24"/>
          <w:szCs w:val="24"/>
        </w:rPr>
        <w:t xml:space="preserve"> BVK 3 straipsnio 1 dalyje numatyta, kad bausmės vykdomos pagal jų vykdymo metu galiojančius įstatymus (nepriklausomai, ar jie švelnesni (griežtesni) nei prieš juos galioję teisės aktai). Taigi vykdant bausmes, o taip pat ir laisvės atėmimo bausmę, netaikoma švelnesnio įstatymo </w:t>
      </w:r>
      <w:r w:rsidRPr="00EF21D5">
        <w:rPr>
          <w:rFonts w:ascii="Times New Roman" w:hAnsi="Times New Roman"/>
          <w:sz w:val="24"/>
          <w:szCs w:val="24"/>
        </w:rPr>
        <w:lastRenderedPageBreak/>
        <w:t xml:space="preserve">galiojimo atgal taisyklė, t. y. sprendžiant nuteistųjų lygtinio paleidimo iš pataisos įstaigų klausimus taikytinos tik šiuo metu galiojančios BVK 157 straipsnio nuostatos. </w:t>
      </w:r>
    </w:p>
    <w:p w:rsidR="00EE0A4D" w:rsidRPr="00EE0A4D" w:rsidRDefault="00982DC9" w:rsidP="00EF21D5">
      <w:pPr>
        <w:autoSpaceDE w:val="0"/>
        <w:autoSpaceDN w:val="0"/>
        <w:adjustRightInd w:val="0"/>
        <w:spacing w:after="0"/>
        <w:ind w:firstLine="851"/>
        <w:jc w:val="both"/>
        <w:rPr>
          <w:rFonts w:ascii="Times New Roman" w:hAnsi="Times New Roman" w:cs="Times New Roman"/>
          <w:sz w:val="24"/>
          <w:szCs w:val="24"/>
        </w:rPr>
      </w:pPr>
      <w:r w:rsidRPr="00EF21D5">
        <w:rPr>
          <w:rFonts w:ascii="Times New Roman" w:hAnsi="Times New Roman"/>
          <w:sz w:val="24"/>
          <w:szCs w:val="24"/>
        </w:rPr>
        <w:t>Ketvirtuoju klausimu</w:t>
      </w:r>
      <w:r w:rsidR="00EE0A4D" w:rsidRPr="00EF21D5">
        <w:rPr>
          <w:rFonts w:ascii="Times New Roman" w:hAnsi="Times New Roman"/>
          <w:sz w:val="24"/>
          <w:szCs w:val="24"/>
        </w:rPr>
        <w:t>,</w:t>
      </w:r>
      <w:r w:rsidRPr="00EF21D5">
        <w:rPr>
          <w:rFonts w:ascii="Times New Roman" w:hAnsi="Times New Roman"/>
          <w:sz w:val="24"/>
          <w:szCs w:val="24"/>
        </w:rPr>
        <w:t xml:space="preserve"> </w:t>
      </w:r>
      <w:r w:rsidR="00EE0A4D" w:rsidRPr="00EF21D5">
        <w:rPr>
          <w:rFonts w:ascii="Times New Roman" w:hAnsi="Times New Roman"/>
          <w:sz w:val="24"/>
          <w:szCs w:val="24"/>
        </w:rPr>
        <w:t xml:space="preserve">vadovaujantis Peticijų įstatymo 7 straipsnio 2 dalimi, buvo priimtas sprendimas Aleksandro </w:t>
      </w:r>
      <w:proofErr w:type="spellStart"/>
      <w:r w:rsidR="00EE0A4D" w:rsidRPr="00EF21D5">
        <w:rPr>
          <w:rFonts w:ascii="Times New Roman" w:hAnsi="Times New Roman"/>
          <w:sz w:val="24"/>
          <w:szCs w:val="24"/>
        </w:rPr>
        <w:t>Jegorovo</w:t>
      </w:r>
      <w:proofErr w:type="spellEnd"/>
      <w:r w:rsidR="00EE0A4D" w:rsidRPr="00EF21D5">
        <w:rPr>
          <w:rFonts w:ascii="Times New Roman" w:hAnsi="Times New Roman"/>
          <w:sz w:val="24"/>
          <w:szCs w:val="24"/>
        </w:rPr>
        <w:t xml:space="preserve"> prašymo, kuriame prašoma Komisijos „apsvarstyti galimybę </w:t>
      </w:r>
      <w:r w:rsidR="00EE0A4D" w:rsidRPr="00EF21D5">
        <w:rPr>
          <w:rFonts w:ascii="Times New Roman" w:hAnsi="Times New Roman"/>
          <w:sz w:val="24"/>
          <w:szCs w:val="24"/>
          <w:lang w:eastAsia="lt-LT"/>
        </w:rPr>
        <w:t xml:space="preserve">papildyti jau priimtus teisės aktus, reglamentuojančius pensijų mokėjimą nukentėjusiems asmenims, kurie dalyvavo likviduojant ČAE avarijos padarinius“, </w:t>
      </w:r>
      <w:r w:rsidR="00EE0A4D" w:rsidRPr="00EF21D5">
        <w:rPr>
          <w:rFonts w:ascii="Times New Roman" w:hAnsi="Times New Roman"/>
          <w:sz w:val="24"/>
          <w:szCs w:val="24"/>
        </w:rPr>
        <w:t xml:space="preserve">nenagrinėti Peticijų </w:t>
      </w:r>
      <w:r w:rsidR="00EE0A4D" w:rsidRPr="00EF21D5">
        <w:rPr>
          <w:rFonts w:ascii="Times New Roman" w:hAnsi="Times New Roman" w:cs="Times New Roman"/>
          <w:sz w:val="24"/>
          <w:szCs w:val="24"/>
        </w:rPr>
        <w:t>įstatymo nustatyta tvarka, kadangi nepraėjo vieneri metai, nuo to laiko, kai buvo priimtas sprendimas atmesti pareiškėjo peticijoje „Dėl teisės ak</w:t>
      </w:r>
      <w:r w:rsidR="00EE0A4D" w:rsidRPr="00EE0A4D">
        <w:rPr>
          <w:rFonts w:ascii="Times New Roman" w:hAnsi="Times New Roman" w:cs="Times New Roman"/>
          <w:sz w:val="24"/>
          <w:szCs w:val="24"/>
        </w:rPr>
        <w:t>tų, reglamentuojančių vienkartinių išmokų bei pensijų mokėjimą nukentėjusiems asmenims, kurie dalyvavo, likviduojant ČAE avarijos padarinius, priėmimo“ pateiktą pasiūlymą.</w:t>
      </w:r>
    </w:p>
    <w:p w:rsidR="00EE0A4D" w:rsidRPr="00EE0A4D" w:rsidRDefault="00EE0A4D" w:rsidP="00EF21D5">
      <w:pPr>
        <w:tabs>
          <w:tab w:val="left" w:pos="709"/>
        </w:tabs>
        <w:spacing w:after="0"/>
        <w:jc w:val="both"/>
        <w:rPr>
          <w:rFonts w:ascii="Times New Roman" w:eastAsia="TimesNewRomanPS-BoldMT" w:hAnsi="Times New Roman" w:cs="Times New Roman"/>
          <w:b/>
          <w:bCs/>
          <w:sz w:val="24"/>
          <w:szCs w:val="24"/>
          <w:lang w:eastAsia="lt-LT"/>
        </w:rPr>
      </w:pPr>
      <w:r w:rsidRPr="00EE0A4D">
        <w:rPr>
          <w:rFonts w:ascii="Times New Roman" w:hAnsi="Times New Roman" w:cs="Times New Roman"/>
          <w:sz w:val="24"/>
          <w:szCs w:val="24"/>
        </w:rPr>
        <w:tab/>
        <w:t xml:space="preserve">2013 m. </w:t>
      </w:r>
      <w:r>
        <w:rPr>
          <w:rFonts w:ascii="Times New Roman" w:hAnsi="Times New Roman" w:cs="Times New Roman"/>
          <w:sz w:val="24"/>
          <w:szCs w:val="24"/>
        </w:rPr>
        <w:t>pareiškėjas</w:t>
      </w:r>
      <w:r w:rsidRPr="00EE0A4D">
        <w:rPr>
          <w:rFonts w:ascii="Times New Roman" w:hAnsi="Times New Roman" w:cs="Times New Roman"/>
          <w:sz w:val="24"/>
          <w:szCs w:val="24"/>
        </w:rPr>
        <w:t xml:space="preserve"> teikė Komisijai kreipimąsi „Dėl teisės aktų, reglamentuojančių vienkartinių išmokų bei pensijų mokėjimą nukentėjusiems asmenims, kurie dalyvavo, likviduojant ČAE avarijos padarinius, priėmimo“, kuriame siūlė</w:t>
      </w:r>
      <w:r w:rsidRPr="00EE0A4D">
        <w:rPr>
          <w:rFonts w:ascii="Times New Roman" w:hAnsi="Times New Roman" w:cs="Times New Roman"/>
          <w:sz w:val="24"/>
          <w:szCs w:val="24"/>
          <w:lang w:eastAsia="lt-LT"/>
        </w:rPr>
        <w:t xml:space="preserve"> papildyti Lietuvos Respublikos valstybinių pensijų įstatymą nuostata, jog valstybinę pensiją turėtų teisę gauti ir nukentėję asmenys, </w:t>
      </w:r>
      <w:r w:rsidRPr="00EE0A4D">
        <w:rPr>
          <w:rFonts w:ascii="Times New Roman" w:hAnsi="Times New Roman" w:cs="Times New Roman"/>
          <w:sz w:val="24"/>
          <w:szCs w:val="24"/>
        </w:rPr>
        <w:t xml:space="preserve">dalyvavę likviduojant Černobylio atominės elektrinės avarijos padarinius, tačiau </w:t>
      </w:r>
      <w:r w:rsidRPr="00EE0A4D">
        <w:rPr>
          <w:rFonts w:ascii="Times New Roman" w:hAnsi="Times New Roman" w:cs="Times New Roman"/>
          <w:sz w:val="24"/>
          <w:szCs w:val="24"/>
          <w:lang w:eastAsia="lt-LT"/>
        </w:rPr>
        <w:t>neturintys Lietuvos Respublikos pilietybės.</w:t>
      </w:r>
      <w:r w:rsidRPr="00EE0A4D">
        <w:rPr>
          <w:rFonts w:ascii="Times New Roman" w:hAnsi="Times New Roman" w:cs="Times New Roman"/>
          <w:sz w:val="24"/>
          <w:szCs w:val="24"/>
        </w:rPr>
        <w:t xml:space="preserve"> </w:t>
      </w:r>
    </w:p>
    <w:p w:rsidR="00EE0A4D" w:rsidRPr="00EE0A4D" w:rsidRDefault="00EE0A4D" w:rsidP="00EF21D5">
      <w:pPr>
        <w:spacing w:after="0"/>
        <w:ind w:firstLine="720"/>
        <w:jc w:val="both"/>
        <w:rPr>
          <w:rFonts w:ascii="Times New Roman" w:hAnsi="Times New Roman" w:cs="Times New Roman"/>
          <w:sz w:val="24"/>
          <w:szCs w:val="24"/>
        </w:rPr>
      </w:pPr>
      <w:r w:rsidRPr="00EE0A4D">
        <w:rPr>
          <w:rFonts w:ascii="Times New Roman" w:hAnsi="Times New Roman" w:cs="Times New Roman"/>
          <w:sz w:val="24"/>
          <w:szCs w:val="24"/>
        </w:rPr>
        <w:t>Komisija 2013 m. lapkričio 6 d. priėmė sprendimą atmesti peticijoje pateikt</w:t>
      </w:r>
      <w:r w:rsidR="00EF21D5">
        <w:rPr>
          <w:rFonts w:ascii="Times New Roman" w:hAnsi="Times New Roman" w:cs="Times New Roman"/>
          <w:sz w:val="24"/>
          <w:szCs w:val="24"/>
        </w:rPr>
        <w:t>ą pasiūlymą. Seimas pritarė šiai</w:t>
      </w:r>
      <w:bookmarkStart w:id="1" w:name="_GoBack"/>
      <w:bookmarkEnd w:id="1"/>
      <w:r w:rsidRPr="00EE0A4D">
        <w:rPr>
          <w:rFonts w:ascii="Times New Roman" w:hAnsi="Times New Roman" w:cs="Times New Roman"/>
          <w:sz w:val="24"/>
          <w:szCs w:val="24"/>
        </w:rPr>
        <w:t xml:space="preserve"> Komisijos išvadai ir 2013 m. lapkričio 19 d. priėmė Seimo protokolinį nutarimą atmesti pasiūlymą.</w:t>
      </w:r>
    </w:p>
    <w:p w:rsidR="00EE0A4D" w:rsidRPr="00EE0A4D" w:rsidRDefault="00EE0A4D" w:rsidP="00EF21D5">
      <w:pPr>
        <w:spacing w:after="0"/>
        <w:ind w:firstLine="720"/>
        <w:jc w:val="both"/>
        <w:rPr>
          <w:rStyle w:val="Typewriter"/>
          <w:rFonts w:ascii="Times New Roman" w:hAnsi="Times New Roman" w:cs="Times New Roman"/>
          <w:sz w:val="24"/>
          <w:szCs w:val="24"/>
        </w:rPr>
      </w:pPr>
      <w:r w:rsidRPr="00EE0A4D">
        <w:rPr>
          <w:rFonts w:ascii="Times New Roman" w:hAnsi="Times New Roman" w:cs="Times New Roman"/>
          <w:sz w:val="24"/>
          <w:szCs w:val="24"/>
        </w:rPr>
        <w:t xml:space="preserve">Pagal Peticijų įstatymo 7 straipsnio 2 dalį pareiškėjas, </w:t>
      </w:r>
      <w:r w:rsidRPr="00EE0A4D">
        <w:rPr>
          <w:rStyle w:val="Typewriter"/>
          <w:rFonts w:ascii="Times New Roman" w:hAnsi="Times New Roman" w:cs="Times New Roman"/>
          <w:sz w:val="24"/>
          <w:szCs w:val="24"/>
        </w:rPr>
        <w:t>nesutinkantis su peticijų komisijos ar Seimo, Vyriausybės ar savivaldybės tarybos sprendimu dėl peticijoje iškeltų reikalavimų ir siūlymų, turi teisę po vienerių metų nuo šio įstatymo 15 straipsnyje numatyto pranešimo gavimo dienos šio įstatymo nustatyta tvarka pakartotinai pateikti kreipimąsi.</w:t>
      </w:r>
    </w:p>
    <w:p w:rsidR="00EE0A4D" w:rsidRDefault="00EE0A4D" w:rsidP="00EF21D5">
      <w:pPr>
        <w:ind w:firstLine="720"/>
        <w:jc w:val="both"/>
        <w:rPr>
          <w:rStyle w:val="Typewriter"/>
          <w:rFonts w:ascii="Times New Roman" w:hAnsi="Times New Roman" w:cs="Times New Roman"/>
          <w:sz w:val="24"/>
          <w:szCs w:val="24"/>
        </w:rPr>
      </w:pPr>
      <w:r w:rsidRPr="00EE0A4D">
        <w:rPr>
          <w:rStyle w:val="Typewriter"/>
          <w:rFonts w:ascii="Times New Roman" w:hAnsi="Times New Roman" w:cs="Times New Roman"/>
          <w:sz w:val="24"/>
          <w:szCs w:val="24"/>
        </w:rPr>
        <w:t xml:space="preserve">Taigi </w:t>
      </w:r>
      <w:r>
        <w:rPr>
          <w:rStyle w:val="Typewriter"/>
          <w:rFonts w:ascii="Times New Roman" w:hAnsi="Times New Roman" w:cs="Times New Roman"/>
          <w:sz w:val="24"/>
          <w:szCs w:val="24"/>
        </w:rPr>
        <w:t>pareiškėjas</w:t>
      </w:r>
      <w:r w:rsidRPr="00EE0A4D">
        <w:rPr>
          <w:rStyle w:val="Typewriter"/>
          <w:rFonts w:ascii="Times New Roman" w:hAnsi="Times New Roman" w:cs="Times New Roman"/>
          <w:sz w:val="24"/>
          <w:szCs w:val="24"/>
        </w:rPr>
        <w:t xml:space="preserve"> gali teikti naują kreipimąsi šiuo klausimu ne anksčiau kaip 2014 m. lapkričio pabaigoje.</w:t>
      </w:r>
    </w:p>
    <w:p w:rsidR="006F3177" w:rsidRPr="00EE0A4D" w:rsidRDefault="006F3177" w:rsidP="00EF21D5">
      <w:pPr>
        <w:ind w:firstLine="720"/>
        <w:jc w:val="both"/>
        <w:rPr>
          <w:rStyle w:val="Typewriter"/>
          <w:rFonts w:ascii="Times New Roman" w:hAnsi="Times New Roman" w:cs="Times New Roman"/>
          <w:sz w:val="24"/>
          <w:szCs w:val="24"/>
        </w:rPr>
      </w:pPr>
    </w:p>
    <w:p w:rsidR="006F3177" w:rsidRPr="00AF5FBC" w:rsidRDefault="006F3177" w:rsidP="00EF21D5">
      <w:pPr>
        <w:pStyle w:val="Antrat1"/>
        <w:spacing w:line="276" w:lineRule="auto"/>
        <w:rPr>
          <w:i w:val="0"/>
        </w:rPr>
      </w:pPr>
      <w:r>
        <w:rPr>
          <w:i w:val="0"/>
        </w:rPr>
        <w:t xml:space="preserve">Komisijų biuro patarėja Janina </w:t>
      </w:r>
      <w:proofErr w:type="spellStart"/>
      <w:r>
        <w:rPr>
          <w:i w:val="0"/>
        </w:rPr>
        <w:t>Šniaukštienė</w:t>
      </w:r>
      <w:proofErr w:type="spellEnd"/>
      <w:r>
        <w:rPr>
          <w:i w:val="0"/>
        </w:rPr>
        <w:t xml:space="preserve">, tel. </w:t>
      </w:r>
      <w:r w:rsidRPr="00AF5FBC">
        <w:rPr>
          <w:i w:val="0"/>
        </w:rPr>
        <w:t>(8 5) 239 6819,</w:t>
      </w:r>
      <w:r>
        <w:rPr>
          <w:i w:val="0"/>
        </w:rPr>
        <w:t xml:space="preserve"> </w:t>
      </w:r>
      <w:r w:rsidRPr="00AF5FBC">
        <w:rPr>
          <w:i w:val="0"/>
        </w:rPr>
        <w:t xml:space="preserve">el. p. jasnia@lrs.lt </w:t>
      </w:r>
    </w:p>
    <w:sectPr w:rsidR="006F3177" w:rsidRPr="00AF5FBC">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31"/>
    <w:rsid w:val="003F2F12"/>
    <w:rsid w:val="004B6F47"/>
    <w:rsid w:val="00505F24"/>
    <w:rsid w:val="006D5030"/>
    <w:rsid w:val="006F3177"/>
    <w:rsid w:val="00982DC9"/>
    <w:rsid w:val="009E0801"/>
    <w:rsid w:val="00A20C31"/>
    <w:rsid w:val="00B53A8C"/>
    <w:rsid w:val="00EE0A4D"/>
    <w:rsid w:val="00EF21D5"/>
    <w:rsid w:val="00EF23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20C31"/>
  </w:style>
  <w:style w:type="paragraph" w:styleId="Antrat1">
    <w:name w:val="heading 1"/>
    <w:basedOn w:val="prastasis"/>
    <w:next w:val="prastasis"/>
    <w:link w:val="Antrat1Diagrama"/>
    <w:qFormat/>
    <w:rsid w:val="006F3177"/>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rsid w:val="009E0801"/>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9E0801"/>
    <w:pPr>
      <w:widowControl w:val="0"/>
      <w:shd w:val="clear" w:color="auto" w:fill="FFFFFF"/>
      <w:spacing w:after="0" w:line="248" w:lineRule="exact"/>
      <w:jc w:val="both"/>
    </w:pPr>
    <w:rPr>
      <w:rFonts w:ascii="Times New Roman" w:eastAsia="Times New Roman" w:hAnsi="Times New Roman" w:cs="Times New Roman"/>
    </w:rPr>
  </w:style>
  <w:style w:type="character" w:customStyle="1" w:styleId="BodytextItalic">
    <w:name w:val="Body text + Italic"/>
    <w:basedOn w:val="Bodytext"/>
    <w:rsid w:val="009E0801"/>
    <w:rPr>
      <w:rFonts w:ascii="Times New Roman" w:eastAsia="Times New Roman" w:hAnsi="Times New Roman" w:cs="Times New Roman"/>
      <w:i/>
      <w:iCs/>
      <w:color w:val="000000"/>
      <w:spacing w:val="0"/>
      <w:w w:val="100"/>
      <w:position w:val="0"/>
      <w:sz w:val="24"/>
      <w:szCs w:val="24"/>
      <w:shd w:val="clear" w:color="auto" w:fill="FFFFFF"/>
      <w:lang w:val="lt-LT"/>
    </w:rPr>
  </w:style>
  <w:style w:type="paragraph" w:styleId="Pagrindiniotekstotrauka">
    <w:name w:val="Body Text Indent"/>
    <w:basedOn w:val="prastasis"/>
    <w:link w:val="PagrindiniotekstotraukaDiagrama"/>
    <w:semiHidden/>
    <w:rsid w:val="004B6F47"/>
    <w:pPr>
      <w:spacing w:after="0" w:line="240" w:lineRule="auto"/>
      <w:ind w:left="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4B6F47"/>
    <w:rPr>
      <w:rFonts w:ascii="Times New Roman" w:eastAsia="Times New Roman" w:hAnsi="Times New Roman" w:cs="Times New Roman"/>
      <w:sz w:val="24"/>
      <w:szCs w:val="24"/>
    </w:rPr>
  </w:style>
  <w:style w:type="paragraph" w:styleId="Sraopastraipa">
    <w:name w:val="List Paragraph"/>
    <w:basedOn w:val="prastasis"/>
    <w:uiPriority w:val="34"/>
    <w:qFormat/>
    <w:rsid w:val="004B6F47"/>
    <w:pPr>
      <w:ind w:left="720"/>
      <w:contextualSpacing/>
    </w:pPr>
  </w:style>
  <w:style w:type="character" w:customStyle="1" w:styleId="Typewriter">
    <w:name w:val="Typewriter"/>
    <w:rsid w:val="00B53A8C"/>
    <w:rPr>
      <w:rFonts w:ascii="Courier New" w:hAnsi="Courier New"/>
      <w:sz w:val="20"/>
    </w:rPr>
  </w:style>
  <w:style w:type="character" w:customStyle="1" w:styleId="Antrat1Diagrama">
    <w:name w:val="Antraštė 1 Diagrama"/>
    <w:basedOn w:val="Numatytasispastraiposriftas"/>
    <w:link w:val="Antrat1"/>
    <w:rsid w:val="006F3177"/>
    <w:rPr>
      <w:rFonts w:ascii="Times New Roman" w:eastAsia="Times New Roman" w:hAnsi="Times New Roman" w:cs="Times New Roman"/>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20C31"/>
  </w:style>
  <w:style w:type="paragraph" w:styleId="Antrat1">
    <w:name w:val="heading 1"/>
    <w:basedOn w:val="prastasis"/>
    <w:next w:val="prastasis"/>
    <w:link w:val="Antrat1Diagrama"/>
    <w:qFormat/>
    <w:rsid w:val="006F3177"/>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rsid w:val="009E0801"/>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9E0801"/>
    <w:pPr>
      <w:widowControl w:val="0"/>
      <w:shd w:val="clear" w:color="auto" w:fill="FFFFFF"/>
      <w:spacing w:after="0" w:line="248" w:lineRule="exact"/>
      <w:jc w:val="both"/>
    </w:pPr>
    <w:rPr>
      <w:rFonts w:ascii="Times New Roman" w:eastAsia="Times New Roman" w:hAnsi="Times New Roman" w:cs="Times New Roman"/>
    </w:rPr>
  </w:style>
  <w:style w:type="character" w:customStyle="1" w:styleId="BodytextItalic">
    <w:name w:val="Body text + Italic"/>
    <w:basedOn w:val="Bodytext"/>
    <w:rsid w:val="009E0801"/>
    <w:rPr>
      <w:rFonts w:ascii="Times New Roman" w:eastAsia="Times New Roman" w:hAnsi="Times New Roman" w:cs="Times New Roman"/>
      <w:i/>
      <w:iCs/>
      <w:color w:val="000000"/>
      <w:spacing w:val="0"/>
      <w:w w:val="100"/>
      <w:position w:val="0"/>
      <w:sz w:val="24"/>
      <w:szCs w:val="24"/>
      <w:shd w:val="clear" w:color="auto" w:fill="FFFFFF"/>
      <w:lang w:val="lt-LT"/>
    </w:rPr>
  </w:style>
  <w:style w:type="paragraph" w:styleId="Pagrindiniotekstotrauka">
    <w:name w:val="Body Text Indent"/>
    <w:basedOn w:val="prastasis"/>
    <w:link w:val="PagrindiniotekstotraukaDiagrama"/>
    <w:semiHidden/>
    <w:rsid w:val="004B6F47"/>
    <w:pPr>
      <w:spacing w:after="0" w:line="240" w:lineRule="auto"/>
      <w:ind w:left="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4B6F47"/>
    <w:rPr>
      <w:rFonts w:ascii="Times New Roman" w:eastAsia="Times New Roman" w:hAnsi="Times New Roman" w:cs="Times New Roman"/>
      <w:sz w:val="24"/>
      <w:szCs w:val="24"/>
    </w:rPr>
  </w:style>
  <w:style w:type="paragraph" w:styleId="Sraopastraipa">
    <w:name w:val="List Paragraph"/>
    <w:basedOn w:val="prastasis"/>
    <w:uiPriority w:val="34"/>
    <w:qFormat/>
    <w:rsid w:val="004B6F47"/>
    <w:pPr>
      <w:ind w:left="720"/>
      <w:contextualSpacing/>
    </w:pPr>
  </w:style>
  <w:style w:type="character" w:customStyle="1" w:styleId="Typewriter">
    <w:name w:val="Typewriter"/>
    <w:rsid w:val="00B53A8C"/>
    <w:rPr>
      <w:rFonts w:ascii="Courier New" w:hAnsi="Courier New"/>
      <w:sz w:val="20"/>
    </w:rPr>
  </w:style>
  <w:style w:type="character" w:customStyle="1" w:styleId="Antrat1Diagrama">
    <w:name w:val="Antraštė 1 Diagrama"/>
    <w:basedOn w:val="Numatytasispastraiposriftas"/>
    <w:link w:val="Antrat1"/>
    <w:rsid w:val="006F3177"/>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8196</Words>
  <Characters>4672</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13</cp:revision>
  <dcterms:created xsi:type="dcterms:W3CDTF">2014-06-03T05:46:00Z</dcterms:created>
  <dcterms:modified xsi:type="dcterms:W3CDTF">2014-06-04T04:53:00Z</dcterms:modified>
</cp:coreProperties>
</file>