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867" w:rsidRPr="00C55DA2" w:rsidRDefault="00891867" w:rsidP="00C55DA2">
      <w:pPr>
        <w:jc w:val="center"/>
        <w:rPr>
          <w:rFonts w:ascii="Times New Roman" w:hAnsi="Times New Roman" w:cs="Times New Roman"/>
          <w:b/>
          <w:sz w:val="24"/>
          <w:szCs w:val="24"/>
        </w:rPr>
      </w:pPr>
      <w:r w:rsidRPr="00C55DA2">
        <w:rPr>
          <w:rFonts w:ascii="Times New Roman" w:hAnsi="Times New Roman" w:cs="Times New Roman"/>
          <w:b/>
          <w:sz w:val="24"/>
          <w:szCs w:val="24"/>
        </w:rPr>
        <w:t>Informacija apie 2014 m. kovo 26 d. posėdį</w:t>
      </w:r>
    </w:p>
    <w:p w:rsidR="00891867" w:rsidRPr="00C55DA2" w:rsidRDefault="00891867" w:rsidP="00A332EF">
      <w:pPr>
        <w:spacing w:after="0"/>
        <w:ind w:firstLine="709"/>
        <w:jc w:val="both"/>
        <w:rPr>
          <w:rFonts w:ascii="Times New Roman" w:hAnsi="Times New Roman" w:cs="Times New Roman"/>
          <w:sz w:val="24"/>
          <w:szCs w:val="24"/>
        </w:rPr>
      </w:pPr>
      <w:r w:rsidRPr="00C55DA2">
        <w:rPr>
          <w:rFonts w:ascii="Times New Roman" w:hAnsi="Times New Roman" w:cs="Times New Roman"/>
          <w:sz w:val="24"/>
          <w:szCs w:val="24"/>
        </w:rPr>
        <w:t>2014 m. kovo 26 d. įvyko Komisijos posėdis, kuriame buvo nagrinėjami šie klausimai:</w:t>
      </w:r>
    </w:p>
    <w:p w:rsidR="005426AD" w:rsidRPr="00C55DA2" w:rsidRDefault="005426AD" w:rsidP="00A332EF">
      <w:pPr>
        <w:spacing w:after="0"/>
        <w:ind w:firstLine="709"/>
        <w:jc w:val="both"/>
        <w:rPr>
          <w:rFonts w:ascii="Times New Roman" w:hAnsi="Times New Roman" w:cs="Times New Roman"/>
          <w:sz w:val="24"/>
          <w:szCs w:val="24"/>
        </w:rPr>
      </w:pPr>
      <w:r w:rsidRPr="00C55DA2">
        <w:rPr>
          <w:rFonts w:ascii="Times New Roman" w:hAnsi="Times New Roman" w:cs="Times New Roman"/>
          <w:sz w:val="24"/>
          <w:szCs w:val="24"/>
        </w:rPr>
        <w:t xml:space="preserve">1. Jurijaus </w:t>
      </w:r>
      <w:proofErr w:type="spellStart"/>
      <w:r w:rsidRPr="00C55DA2">
        <w:rPr>
          <w:rFonts w:ascii="Times New Roman" w:hAnsi="Times New Roman" w:cs="Times New Roman"/>
          <w:sz w:val="24"/>
          <w:szCs w:val="24"/>
        </w:rPr>
        <w:t>Privalovo</w:t>
      </w:r>
      <w:proofErr w:type="spellEnd"/>
      <w:r w:rsidRPr="00C55DA2">
        <w:rPr>
          <w:rFonts w:ascii="Times New Roman" w:hAnsi="Times New Roman" w:cs="Times New Roman"/>
          <w:sz w:val="24"/>
          <w:szCs w:val="24"/>
        </w:rPr>
        <w:t xml:space="preserve"> peticijos „Dėl pensijų apskaičiavimo tvarkos koregavimo“ nagrinėjimas iš esmės.</w:t>
      </w:r>
    </w:p>
    <w:p w:rsidR="005426AD" w:rsidRPr="00C55DA2" w:rsidRDefault="005426AD" w:rsidP="00A332EF">
      <w:pPr>
        <w:spacing w:after="0"/>
        <w:ind w:firstLine="709"/>
        <w:jc w:val="both"/>
        <w:rPr>
          <w:rFonts w:ascii="Times New Roman" w:hAnsi="Times New Roman" w:cs="Times New Roman"/>
          <w:sz w:val="24"/>
          <w:szCs w:val="24"/>
        </w:rPr>
      </w:pPr>
      <w:r w:rsidRPr="00C55DA2">
        <w:rPr>
          <w:rFonts w:ascii="Times New Roman" w:hAnsi="Times New Roman"/>
          <w:sz w:val="24"/>
          <w:szCs w:val="24"/>
        </w:rPr>
        <w:t>2. Dėl Valerijaus Kazakevičiaus peticijos „</w:t>
      </w:r>
      <w:r w:rsidRPr="00C55DA2">
        <w:rPr>
          <w:rFonts w:ascii="Times New Roman" w:eastAsia="TimesNewRomanPSMT" w:hAnsi="Times New Roman"/>
          <w:sz w:val="24"/>
          <w:szCs w:val="24"/>
          <w:lang w:eastAsia="lt-LT"/>
        </w:rPr>
        <w:t>Dėl Lietuvos valdžios ir valstybės institucijų neveikimo, žmogaus teisų ir laisvių pažeidimo ir diskriminacijos, neproporcingo draudimo Lietuvos Respublikos piliečiams ginti pažeistas konstitucines teises Lietuvos Respublikos Konstituciniame Teisme, Lietuvos Respublikos Konstitucijos ir konstitucinės santvarkos pažeidimo bei Lietuvos valdžios priimtų teisės aktų prieštaravimo Lietuvos Respublikos Konstitucijos 7 straipsnio 1 ir 2 daliai bei teisingumo ir teisinės valstybės principams“.</w:t>
      </w:r>
    </w:p>
    <w:p w:rsidR="00F634DF" w:rsidRPr="00C55DA2" w:rsidRDefault="005426AD" w:rsidP="00A332EF">
      <w:pPr>
        <w:ind w:firstLine="709"/>
        <w:rPr>
          <w:rFonts w:ascii="Times New Roman" w:hAnsi="Times New Roman"/>
          <w:sz w:val="24"/>
          <w:szCs w:val="24"/>
        </w:rPr>
      </w:pPr>
      <w:r w:rsidRPr="00C55DA2">
        <w:rPr>
          <w:rFonts w:ascii="Times New Roman" w:hAnsi="Times New Roman"/>
          <w:sz w:val="24"/>
          <w:szCs w:val="24"/>
        </w:rPr>
        <w:t xml:space="preserve">3. Dėl Kęstučio </w:t>
      </w:r>
      <w:proofErr w:type="spellStart"/>
      <w:r w:rsidRPr="00C55DA2">
        <w:rPr>
          <w:rFonts w:ascii="Times New Roman" w:hAnsi="Times New Roman"/>
          <w:sz w:val="24"/>
          <w:szCs w:val="24"/>
        </w:rPr>
        <w:t>Vilkausko</w:t>
      </w:r>
      <w:proofErr w:type="spellEnd"/>
      <w:r w:rsidRPr="00C55DA2">
        <w:rPr>
          <w:rFonts w:ascii="Times New Roman" w:hAnsi="Times New Roman"/>
          <w:sz w:val="24"/>
          <w:szCs w:val="24"/>
        </w:rPr>
        <w:t xml:space="preserve"> kreipimosi „Dėl Lietuvos Respublikos alkoholio kontrolės įstatymo 23 ir 29 straipsnių pakeitimų“.</w:t>
      </w:r>
    </w:p>
    <w:p w:rsidR="009C7459" w:rsidRPr="00C55DA2" w:rsidRDefault="009C7459" w:rsidP="00A332EF">
      <w:pPr>
        <w:autoSpaceDE w:val="0"/>
        <w:autoSpaceDN w:val="0"/>
        <w:adjustRightInd w:val="0"/>
        <w:spacing w:after="0"/>
        <w:ind w:firstLine="709"/>
        <w:jc w:val="both"/>
        <w:rPr>
          <w:rFonts w:ascii="Times New Roman" w:hAnsi="Times New Roman"/>
          <w:sz w:val="24"/>
          <w:szCs w:val="24"/>
        </w:rPr>
      </w:pPr>
      <w:r w:rsidRPr="00C55DA2">
        <w:rPr>
          <w:rFonts w:ascii="Times New Roman" w:hAnsi="Times New Roman"/>
          <w:sz w:val="24"/>
          <w:szCs w:val="24"/>
        </w:rPr>
        <w:t>Pir</w:t>
      </w:r>
      <w:r w:rsidR="005426AD" w:rsidRPr="00C55DA2">
        <w:rPr>
          <w:rFonts w:ascii="Times New Roman" w:hAnsi="Times New Roman"/>
          <w:sz w:val="24"/>
          <w:szCs w:val="24"/>
        </w:rPr>
        <w:t>muoju klausimu buvo priimtas sprendimas atmesti peticijoje pateiktą pasiūlymą</w:t>
      </w:r>
      <w:r w:rsidRPr="00C55DA2">
        <w:rPr>
          <w:rFonts w:ascii="Times New Roman" w:eastAsia="TimesNewRomanPSMT" w:hAnsi="Times New Roman"/>
          <w:sz w:val="24"/>
          <w:szCs w:val="24"/>
        </w:rPr>
        <w:t xml:space="preserve"> atstatyti socialinį teisingumą ir apskaičiuojant pensijas taikyti simetrijos principą: jeigu leista nevertinti pajamų koeficiento iki 1994 m. sausio 1 d., turi būti leista nevertinti pajamų koeficiento ir nuo 1994 m. sausio 1 d., t.y. naujoje formulėje dalyvautų arba pajamų koeficientas nuo 1994 m. sausio 1 d., arba pajamų koeficientas iki 1994 m. sausio 1 d.</w:t>
      </w:r>
    </w:p>
    <w:p w:rsidR="009C7459" w:rsidRPr="00C55DA2" w:rsidRDefault="009C7459" w:rsidP="00A332EF">
      <w:pPr>
        <w:autoSpaceDE w:val="0"/>
        <w:autoSpaceDN w:val="0"/>
        <w:adjustRightInd w:val="0"/>
        <w:spacing w:after="0"/>
        <w:ind w:firstLine="709"/>
        <w:jc w:val="both"/>
        <w:rPr>
          <w:rFonts w:ascii="Times New Roman" w:hAnsi="Times New Roman"/>
          <w:sz w:val="24"/>
          <w:szCs w:val="24"/>
        </w:rPr>
      </w:pPr>
      <w:r w:rsidRPr="00C55DA2">
        <w:rPr>
          <w:rFonts w:ascii="Times New Roman" w:hAnsi="Times New Roman"/>
          <w:sz w:val="24"/>
          <w:szCs w:val="24"/>
        </w:rPr>
        <w:t>Komisija šį sprendimą</w:t>
      </w:r>
      <w:r w:rsidRPr="00C55DA2">
        <w:rPr>
          <w:rFonts w:ascii="Times New Roman" w:eastAsia="TimesNewRomanPSMT" w:hAnsi="Times New Roman"/>
          <w:sz w:val="24"/>
          <w:szCs w:val="24"/>
        </w:rPr>
        <w:t xml:space="preserve"> priėmė atsižvelgusi į Lietuvos Respublikos socialinės apsaugos ir darbo ministerijos pateiktą nuomonę ir į tai, kad peticijoje pateiktas pasiūlymas reikštų galimybę daliai asmenų skirti pensijas tik pagal pajamas, nuo kurių praktiškai nebuvo mokėtos socialinio draudimo įmokos į Lietuvos Respublikos valstybinio socialinio draudimo fondo biudžetą. Tokio siūlymo įgyvendinimas neprisidėtų prie pensijų sistemos skaidrumo (būtų vertinamos tik sovietmečiu gautos pajamos). Be to, tokia tvarka padidintų administracinę naštą tiek Valstybinio socialinio draudimo fondo valdybai, tiek ir asmenims, nes tektų ieškoti dokumentų apie sovietmečiu gautą darbo užmokestį. Kartu pažymėtina, kad vis dažniau pasitaiko atvejų, kai nepavyksta surasti dokumentų apie sovietmečiu mokėtus atlyginimus, ir tokiu atveju asmens draudžiamųjų pajamų koeficientas skaičiuojamas pagal to meto minimalų mėnesio darbo užmokestį. Taip pat svarstytina, ar toks siūlymas atitiktų Lietuvos Respublikos Konstitucinio Teismo doktriną, kad pensijų dydis negali nepriklausyti nuo sumokėtų socialinio draudimo įmokų. Siūlomas pakeitimas neleistų įvertinti asmens sumokėtų socialinio draudimo įmokų indėlio. </w:t>
      </w:r>
    </w:p>
    <w:p w:rsidR="009C7459" w:rsidRPr="00C55DA2" w:rsidRDefault="009C7459" w:rsidP="00A332EF">
      <w:pPr>
        <w:autoSpaceDE w:val="0"/>
        <w:autoSpaceDN w:val="0"/>
        <w:adjustRightInd w:val="0"/>
        <w:spacing w:after="0"/>
        <w:ind w:firstLine="709"/>
        <w:jc w:val="both"/>
        <w:rPr>
          <w:rFonts w:ascii="Times New Roman" w:eastAsia="TimesNewRomanPSMT" w:hAnsi="Times New Roman"/>
          <w:sz w:val="24"/>
          <w:szCs w:val="24"/>
        </w:rPr>
      </w:pPr>
      <w:r w:rsidRPr="00C55DA2">
        <w:rPr>
          <w:rFonts w:ascii="Times New Roman" w:eastAsia="TimesNewRomanPSMT" w:hAnsi="Times New Roman"/>
          <w:sz w:val="24"/>
          <w:szCs w:val="24"/>
        </w:rPr>
        <w:t xml:space="preserve">Vienas iš Lietuvoje 1995 m. įgyvendintos valstybinių socialinio draudimo pensijų reformos tikslų buvo susieti apdraustųjų asmenų teisę gauti valstybinę socialinio draudimo pensiją (toliau – pensija) ir šios pensijos dydį su privalomų socialinio draudimo įmokų mokėjimu į Valstybinio socialinio draudimo fondo biudžetą, t. y., buvo pereita prie socialinio draudimo sistemos principais pagrįstos pensijų schemos: kuo ilgiau asmuo dirba ir kuo daugiau privalomų socialinio draudimo įmokų sumoka, tuo didesnės socialinio draudimo išmokos (taip pat ir pensijos) gali tikėtis vėliau. Ši bendra nuostata atsispindi Lietuvos Respublikos valstybinių socialinio draudimo pensijų įstatyme (toliau – Pensijų įstatymas) nustatytoje pensijų apskaičiavimo tvarkoje: skaičiuojant pensiją atsižvelgiama į visą asmens </w:t>
      </w:r>
      <w:r w:rsidRPr="00C55DA2">
        <w:rPr>
          <w:rFonts w:ascii="Times New Roman" w:eastAsia="TimesNewRomanPSMT" w:hAnsi="Times New Roman"/>
          <w:sz w:val="24"/>
          <w:szCs w:val="24"/>
        </w:rPr>
        <w:lastRenderedPageBreak/>
        <w:t xml:space="preserve">įgytą valstybinio socialinio pensijų draudimo stažą (toliau – stažas) ir į turėtą uždarbį, nuo kurio buvo skaičiuotos privalomos socialinio draudimo įmokos. Vėliau šią būtinybę susieti pensijos dydį su asmens mokėtomis valstybinio socialinio draudimo įmokomis pabrėžė ir Konstitucinis Teismas. 2002 m. lapkričio 25 d. nutarime Konstitucinis Teismas atkreipė dėmesį į tai, kad „lėšų, reikalingų senatvės pensijai mokėti, surinkimas ir šių pensijų skyrimas paprastai yra grindžiamas socialiniu draudimu. Socialinio draudimo įmokų mokėjimas suponuoja asmens teisę gauti atitinkamo dydžio senatvės pensiją, šis dydis negali nepriklausyti nuo sumokėtų socialinio draudimo įmokų.&lt;...&gt; Solidarumo principo negalima aiškinti kaip įtvirtinančio įstatymų leidėjo </w:t>
      </w:r>
      <w:proofErr w:type="spellStart"/>
      <w:r w:rsidRPr="00C55DA2">
        <w:rPr>
          <w:rFonts w:ascii="Times New Roman" w:eastAsia="TimesNewRomanPSMT" w:hAnsi="Times New Roman"/>
          <w:sz w:val="24"/>
          <w:szCs w:val="24"/>
        </w:rPr>
        <w:t>diskreciją</w:t>
      </w:r>
      <w:proofErr w:type="spellEnd"/>
      <w:r w:rsidRPr="00C55DA2">
        <w:rPr>
          <w:rFonts w:ascii="Times New Roman" w:eastAsia="TimesNewRomanPSMT" w:hAnsi="Times New Roman"/>
          <w:sz w:val="24"/>
          <w:szCs w:val="24"/>
        </w:rPr>
        <w:t xml:space="preserve"> reguliuoti senatvės pensijų skyrimą ir mokėjimą taip, kad senatvės pensijų dydžiai, kai senatvės pensijų sistema grindžiama socialiniu draudimu, nepriklausytų arba tik menkai priklausytų nuo to, kokio dydžio įmokos buvo mokamos sudarant materialines šių pensijų mokėjimo prielaidas. Socialinio draudimo įmokų dydžiai yra pagrindas diferencijuoti senatvės pensijų dydžius.“ Taigi ir Konstitucinio Teismo doktrinoje yra pabrėžiama, kad pensijos negali nepriklausyti nuo asmens mokėtų socialinio draudimo įmokų. </w:t>
      </w:r>
    </w:p>
    <w:p w:rsidR="009C7459" w:rsidRPr="00C55DA2" w:rsidRDefault="009C7459" w:rsidP="00A332EF">
      <w:pPr>
        <w:autoSpaceDE w:val="0"/>
        <w:autoSpaceDN w:val="0"/>
        <w:adjustRightInd w:val="0"/>
        <w:spacing w:after="0"/>
        <w:ind w:firstLine="709"/>
        <w:jc w:val="both"/>
        <w:rPr>
          <w:rFonts w:ascii="Times New Roman" w:eastAsia="TimesNewRomanPSMT" w:hAnsi="Times New Roman"/>
          <w:sz w:val="24"/>
          <w:szCs w:val="24"/>
        </w:rPr>
      </w:pPr>
      <w:r w:rsidRPr="00C55DA2">
        <w:rPr>
          <w:rFonts w:ascii="Times New Roman" w:eastAsia="TimesNewRomanPSMT" w:hAnsi="Times New Roman"/>
          <w:sz w:val="24"/>
          <w:szCs w:val="24"/>
        </w:rPr>
        <w:t xml:space="preserve">Pareiškėjo siūlyme prašoma įteisinti nuostatą, kad apskaičiuojant pensijas būtų vertinamas tik asmens draudžiamųjų pajamų koeficientas, apskaičiuotas pagal draudžiamosioms pajamoms prilyginamas iki 1994 m. asmens gautas pajamas. Pagal nuo 2013 m. sausio 1 d. galiojančią Pensijų įstatyme nustatytą tvarką, asmuo gali pasirinkti, ar skaičiuojant pensiją vertinti tik jo draudžiamąsias pajamas, gautas po 1994 m. sausio 1 d., ar vertinti ir palankiausių 5 metų pajamas iš laikotarpio nuo 1984 m. sausio 1 d. iki 1994 m. sausio 1 d., ir visas draudžiamąsias pajamas, gautas po 1994 m. sausio 1 d. </w:t>
      </w:r>
    </w:p>
    <w:p w:rsidR="009C7459" w:rsidRPr="00C55DA2" w:rsidRDefault="009C7459" w:rsidP="00A332EF">
      <w:pPr>
        <w:autoSpaceDE w:val="0"/>
        <w:autoSpaceDN w:val="0"/>
        <w:adjustRightInd w:val="0"/>
        <w:spacing w:after="0"/>
        <w:ind w:firstLine="709"/>
        <w:jc w:val="both"/>
        <w:rPr>
          <w:rFonts w:ascii="Times New Roman" w:eastAsia="TimesNewRomanPSMT" w:hAnsi="Times New Roman"/>
          <w:sz w:val="24"/>
          <w:szCs w:val="24"/>
        </w:rPr>
      </w:pPr>
      <w:r w:rsidRPr="00C55DA2">
        <w:rPr>
          <w:rFonts w:ascii="Times New Roman" w:eastAsia="TimesNewRomanPSMT" w:hAnsi="Times New Roman"/>
          <w:sz w:val="24"/>
          <w:szCs w:val="24"/>
        </w:rPr>
        <w:t xml:space="preserve">Atkreiptinas dėmesys į tai, kad iki 2013 m. sausio 1 d. galiojusi Pensijų įstatymo redakcija numatė, kad skaičiuojant pensiją yra vertinamos ir pajamos, gautos iki 1994 m., ir pajamos, gautos po 1994 m., be pasirinkimo galimybės. Tačiau jau nuo pat 1995 m., kai įsigaliojo Pensijų įstatymas, jame galiojo nuostata, kad nuo tam tikro laiko (nuo 2009 m. sausio 1 d.) pensijos bus apskaičiuojamos vertinant tik pajamas, gautas po 1994 m. sausio 1 d. Šios nuostatos esmė – numatyti pereinamąjį laikotarpį, kuriam pasibaigus pensijos būtų skiriamos tik pagal Valstybinio socialinio draudimo fondo valdyboje sukauptus duomenis apie už asmenį apskaičiuotas (sumokėtas) socialinio draudimo įmokas. Buvo laikomasi nuostatos, kad 15 metų (būtent toks yra minimalaus stažo senatvės pensijai skirti reikalavimas) laikotarpis po 1994 m., kai Valstybinio socialinio draudimo fondo valdyba pradėjo centralizuotai kaupti duomenis apie socialinio draudimo įmokų mokėjimą, bus pakankamas siekiant įvertinti asmens indėlį į socialinio draudimo sistemą ir jam paskirti pensiją, pagrįstą socialinio draudimo įmokomis. Pajamų laikotarpio iki 1994 m., kaip draudžiamosioms pajamoms prilyginamo laikotarpio, ilgainiui turėjo būti atsisakyta, nes šis laikotarpis buvo įteisintas asmenų teisėms iki 1995 m. išsaugoti – daugelis žmonių, kuriems pensijos turėjo būti skiriamos pagal nuo 1995 m. sausio 1 d. įsigaliojusį Pensijų įstatymą, didžiąją dalį stažo buvo įgiję dar sovietmečiu, kai Lietuvoje nebuvo valstybinio socialinio draudimo fondo ir solidarumu grindžiamos pensijų sistemos. </w:t>
      </w:r>
    </w:p>
    <w:p w:rsidR="009C7459" w:rsidRPr="00C55DA2" w:rsidRDefault="009C7459" w:rsidP="00A332EF">
      <w:pPr>
        <w:autoSpaceDE w:val="0"/>
        <w:autoSpaceDN w:val="0"/>
        <w:adjustRightInd w:val="0"/>
        <w:spacing w:after="0"/>
        <w:ind w:firstLine="709"/>
        <w:jc w:val="both"/>
        <w:rPr>
          <w:rFonts w:ascii="Times New Roman" w:hAnsi="Times New Roman"/>
          <w:sz w:val="24"/>
          <w:szCs w:val="24"/>
        </w:rPr>
      </w:pPr>
      <w:r w:rsidRPr="00C55DA2">
        <w:rPr>
          <w:rFonts w:ascii="Times New Roman" w:eastAsia="TimesNewRomanPSMT" w:hAnsi="Times New Roman"/>
          <w:sz w:val="24"/>
          <w:szCs w:val="24"/>
        </w:rPr>
        <w:t xml:space="preserve">Taigi pagal pirminę Pensijų įstatymo leidėjo valią pajamos, gautos iki 1994 metų, skaičiuojant pensijas ilgainiui visai nebeturėjo būti vertinamos. Tačiau atsižvelgdamas į tai, kad dalies žmonių pajamos po 1994 m. buvo nedidelės, Lietuvos Respublikos Seimas 2012 m. gruodžio 20 d. priimtame Lietuvos Respublikos valstybinių socialinio draudimo pensijų </w:t>
      </w:r>
      <w:r w:rsidRPr="00C55DA2">
        <w:rPr>
          <w:rFonts w:ascii="Times New Roman" w:eastAsia="TimesNewRomanPSMT" w:hAnsi="Times New Roman"/>
          <w:sz w:val="24"/>
          <w:szCs w:val="24"/>
        </w:rPr>
        <w:lastRenderedPageBreak/>
        <w:t>įstatymo 19, 24 ir 56 straipsnių pakeitimo įstatyme Nr. XII-91 nustatė bendrą normą, kad po 2013 m. sausio 1 d. skiriant pensijas vertinamos tik asmens pajamos, gautos po 1994 m., bet norintys gali prašyti pensiją skirti vadovaujantis iki tol galiojusia formule, t. y. vertinant ir palankiausių 5 metų pajamas iš laikotarpio nuo 1984 m. sausio 1 d. iki 1994 m. sausio 1 d., ir visas draudžiamąsias pajamas, gautas po 1994 m. sausio 1 d. Tokiu būdu buvo siekiama ir išsaugoti pensijų sistemos atitiktį konstitucinei doktrinai, kad pensijų dydžiai negali nepriklausyti nuo socialinio draudimo įmokų (kai skaičiuojant pensiją vertinamos tik pajamos, gautos po 1994 m., įvertinama 19 metų socialinio draudimo įmokų mokėjimo), ir kartu išsaugoti galimybę asmeniui pasirinkti anksčiau galiojusią pensijų apskaičiavimo tvarką, jei asmeniui tai naudinga.</w:t>
      </w:r>
    </w:p>
    <w:p w:rsidR="00A13996" w:rsidRPr="00C55DA2" w:rsidRDefault="009C7459" w:rsidP="00A332EF">
      <w:pPr>
        <w:keepNext/>
        <w:spacing w:after="0"/>
        <w:ind w:firstLine="720"/>
        <w:jc w:val="both"/>
        <w:outlineLvl w:val="1"/>
        <w:rPr>
          <w:rFonts w:ascii="Times New Roman" w:hAnsi="Times New Roman"/>
          <w:sz w:val="24"/>
          <w:szCs w:val="24"/>
        </w:rPr>
      </w:pPr>
      <w:r w:rsidRPr="00C55DA2">
        <w:rPr>
          <w:rFonts w:ascii="Times New Roman" w:hAnsi="Times New Roman" w:cs="Times New Roman"/>
          <w:sz w:val="24"/>
          <w:szCs w:val="24"/>
        </w:rPr>
        <w:t>Antruoju klausimu</w:t>
      </w:r>
      <w:r w:rsidR="00A13996" w:rsidRPr="00C55DA2">
        <w:rPr>
          <w:rFonts w:ascii="Times New Roman" w:hAnsi="Times New Roman" w:cs="Times New Roman"/>
          <w:sz w:val="24"/>
          <w:szCs w:val="24"/>
        </w:rPr>
        <w:t xml:space="preserve">, </w:t>
      </w:r>
      <w:r w:rsidR="00A13996" w:rsidRPr="00C55DA2">
        <w:rPr>
          <w:rFonts w:ascii="Times New Roman" w:hAnsi="Times New Roman"/>
          <w:bCs/>
          <w:iCs/>
          <w:sz w:val="24"/>
          <w:szCs w:val="24"/>
        </w:rPr>
        <w:t xml:space="preserve">vadovaujantis Lietuvos Respublikos peticijų įstatymo 1 straipsniu, buvo priimtas sprendimas Valerijaus Kazakevičiaus kreipimosi </w:t>
      </w:r>
      <w:r w:rsidR="00A13996" w:rsidRPr="00C55DA2">
        <w:rPr>
          <w:rFonts w:ascii="Times New Roman" w:hAnsi="Times New Roman"/>
          <w:sz w:val="24"/>
          <w:szCs w:val="24"/>
        </w:rPr>
        <w:t>„</w:t>
      </w:r>
      <w:r w:rsidR="00A13996" w:rsidRPr="00C55DA2">
        <w:rPr>
          <w:rFonts w:ascii="Times New Roman" w:eastAsia="TimesNewRomanPSMT" w:hAnsi="Times New Roman"/>
          <w:sz w:val="24"/>
          <w:szCs w:val="24"/>
          <w:lang w:eastAsia="lt-LT"/>
        </w:rPr>
        <w:t>Dėl Lietuvos valdžios ir valstybės institucijų neveikimo, žmogaus teisų ir laisvių pažeidimo ir diskriminacijos, neproporcingo draudimo Lietuvos Respublikos piliečiams ginti pažeistas konstitucines teises Lietuvos Respublikos Konstituciniame Teisme, Lietuvos Respublikos Konstitucijos ir konstitucinės santvarkos pažeidimo bei Lietuvos valdžios priimtų teisės aktų prieštaravimo Lietuvos Respublikos Konstitucijos 7 straipsnio 1 ir 2 daliai bei teisingumo ir teisinės valstybės principams“</w:t>
      </w:r>
      <w:r w:rsidR="00A13996" w:rsidRPr="00C55DA2">
        <w:rPr>
          <w:rFonts w:ascii="Times New Roman" w:eastAsia="TimesNewRomanPSMT" w:hAnsi="Times New Roman"/>
          <w:sz w:val="24"/>
          <w:szCs w:val="24"/>
        </w:rPr>
        <w:t xml:space="preserve"> nenagrinėti Peticijų įstatymo nustatyta tvarka, kadangi kreipimesi pateiktų pasiūlymų nagrinėjimas nėra Komisijos kompetencijoje:</w:t>
      </w:r>
      <w:r w:rsidR="00A13996" w:rsidRPr="00C55DA2">
        <w:rPr>
          <w:rFonts w:ascii="Times New Roman" w:hAnsi="Times New Roman"/>
          <w:bCs/>
          <w:sz w:val="24"/>
          <w:szCs w:val="24"/>
        </w:rPr>
        <w:t xml:space="preserve"> t</w:t>
      </w:r>
      <w:r w:rsidR="00A13996" w:rsidRPr="00C55DA2">
        <w:rPr>
          <w:rFonts w:ascii="Times New Roman" w:hAnsi="Times New Roman"/>
          <w:sz w:val="24"/>
          <w:szCs w:val="24"/>
        </w:rPr>
        <w:t>eisę kreiptis į Konstitucinį Teismą, ar neprieštarauja Lietuvos Respublikos Konstitucijai Lietuvos Respublikos įstatymai ir kiti Seimo priimti aktai, turi Vyriausybė, ne mažiau kaip 1/5 visų Seimo narių, taip pat teismai. Dėl Respublikos Prezidento aktų sutikimo su Konstitucija ir įstatymais į Konstitucinį Teismą turi teisę kreiptis ne mažiau kaip 1/5 visų Seimo narių ir teismai. Dėl Vyriausybės aktų sutikimo su Konstitucija ir įstatymais į Konstitucinį Teismą gali kreiptis ne mažiau kaip 1/5 visų Seimo narių, teismai, taip pat Respublikos Prezidentas. Prašyti Konstitucinio Teismo išvados gali Seimas, o dėl Seimo rinkimų ir tarptautinių sutarčių – ir Respublikos Prezidentas (Lietuvos Respublikos Konstitucijos 106 straipsnis).</w:t>
      </w:r>
      <w:r w:rsidR="00594A79">
        <w:rPr>
          <w:rFonts w:ascii="Times New Roman" w:hAnsi="Times New Roman"/>
          <w:sz w:val="24"/>
          <w:szCs w:val="24"/>
        </w:rPr>
        <w:t xml:space="preserve"> </w:t>
      </w:r>
      <w:r w:rsidR="00A13996" w:rsidRPr="00C55DA2">
        <w:rPr>
          <w:rFonts w:ascii="Times New Roman" w:hAnsi="Times New Roman"/>
          <w:sz w:val="24"/>
          <w:szCs w:val="24"/>
        </w:rPr>
        <w:t>Taigi Komisija teisės kreiptis į Konstitucinį Teismą neturi.</w:t>
      </w:r>
    </w:p>
    <w:p w:rsidR="00594A79" w:rsidRDefault="00C55DA2" w:rsidP="00A332EF">
      <w:pPr>
        <w:autoSpaceDE w:val="0"/>
        <w:autoSpaceDN w:val="0"/>
        <w:adjustRightInd w:val="0"/>
        <w:spacing w:after="0"/>
        <w:ind w:firstLine="720"/>
        <w:jc w:val="both"/>
        <w:rPr>
          <w:rFonts w:ascii="Times New Roman" w:eastAsia="TimesNewRomanPSMT" w:hAnsi="Times New Roman"/>
          <w:sz w:val="24"/>
          <w:szCs w:val="24"/>
          <w:lang w:eastAsia="lt-LT"/>
        </w:rPr>
      </w:pPr>
      <w:r w:rsidRPr="00C55DA2">
        <w:rPr>
          <w:rFonts w:ascii="Times New Roman" w:eastAsia="TimesNewRomanPSMT" w:hAnsi="Times New Roman"/>
          <w:sz w:val="24"/>
          <w:szCs w:val="24"/>
          <w:lang w:eastAsia="lt-LT"/>
        </w:rPr>
        <w:t>Pareiškėjas siūlo</w:t>
      </w:r>
      <w:r w:rsidR="00594A79">
        <w:rPr>
          <w:rFonts w:ascii="Times New Roman" w:eastAsia="TimesNewRomanPSMT" w:hAnsi="Times New Roman"/>
          <w:sz w:val="24"/>
          <w:szCs w:val="24"/>
          <w:lang w:eastAsia="lt-LT"/>
        </w:rPr>
        <w:t>:</w:t>
      </w:r>
    </w:p>
    <w:p w:rsidR="00C55DA2" w:rsidRPr="00C55DA2" w:rsidRDefault="00C55DA2" w:rsidP="00A332EF">
      <w:pPr>
        <w:autoSpaceDE w:val="0"/>
        <w:autoSpaceDN w:val="0"/>
        <w:adjustRightInd w:val="0"/>
        <w:spacing w:after="0"/>
        <w:ind w:firstLine="720"/>
        <w:jc w:val="both"/>
        <w:rPr>
          <w:rFonts w:ascii="Times New Roman" w:eastAsia="TimesNewRomanPSMT" w:hAnsi="Times New Roman"/>
          <w:sz w:val="24"/>
          <w:szCs w:val="24"/>
        </w:rPr>
      </w:pPr>
      <w:r w:rsidRPr="00C55DA2">
        <w:rPr>
          <w:rFonts w:ascii="Times New Roman" w:eastAsia="TimesNewRomanPSMT" w:hAnsi="Times New Roman"/>
          <w:sz w:val="24"/>
          <w:szCs w:val="24"/>
        </w:rPr>
        <w:t xml:space="preserve">„1. Kreiptis į Lietuvos Respublikos Konstitucinį Teismą dėl teisės aktų atitikties Lietuvos Respublikos Konstitucijai ir įstatymams bei dėl Lietuvos pažeistų </w:t>
      </w:r>
      <w:proofErr w:type="spellStart"/>
      <w:r w:rsidRPr="00C55DA2">
        <w:rPr>
          <w:rFonts w:ascii="Times New Roman" w:eastAsia="TimesNewRomanPSMT" w:hAnsi="Times New Roman"/>
          <w:sz w:val="24"/>
          <w:szCs w:val="24"/>
        </w:rPr>
        <w:t>Genoefos</w:t>
      </w:r>
      <w:proofErr w:type="spellEnd"/>
      <w:r w:rsidRPr="00C55DA2">
        <w:rPr>
          <w:rFonts w:ascii="Times New Roman" w:eastAsia="TimesNewRomanPSMT" w:hAnsi="Times New Roman"/>
          <w:sz w:val="24"/>
          <w:szCs w:val="24"/>
        </w:rPr>
        <w:t xml:space="preserve"> </w:t>
      </w:r>
      <w:proofErr w:type="spellStart"/>
      <w:r w:rsidRPr="00C55DA2">
        <w:rPr>
          <w:rFonts w:ascii="Times New Roman" w:eastAsia="TimesNewRomanPSMT" w:hAnsi="Times New Roman"/>
          <w:sz w:val="24"/>
          <w:szCs w:val="24"/>
        </w:rPr>
        <w:t>Kazakevič</w:t>
      </w:r>
      <w:proofErr w:type="spellEnd"/>
      <w:r w:rsidRPr="00C55DA2">
        <w:rPr>
          <w:rFonts w:ascii="Times New Roman" w:eastAsia="TimesNewRomanPSMT" w:hAnsi="Times New Roman"/>
          <w:sz w:val="24"/>
          <w:szCs w:val="24"/>
        </w:rPr>
        <w:t xml:space="preserve"> konstitucinių teisių</w:t>
      </w:r>
      <w:r>
        <w:rPr>
          <w:rFonts w:ascii="Times New Roman" w:eastAsia="TimesNewRomanPSMT" w:hAnsi="Times New Roman"/>
          <w:sz w:val="24"/>
          <w:szCs w:val="24"/>
        </w:rPr>
        <w:t>.</w:t>
      </w:r>
    </w:p>
    <w:p w:rsidR="00C55DA2" w:rsidRPr="00C55DA2" w:rsidRDefault="00C55DA2" w:rsidP="00A332EF">
      <w:pPr>
        <w:autoSpaceDE w:val="0"/>
        <w:autoSpaceDN w:val="0"/>
        <w:adjustRightInd w:val="0"/>
        <w:spacing w:after="0"/>
        <w:ind w:firstLine="720"/>
        <w:jc w:val="both"/>
        <w:rPr>
          <w:rFonts w:ascii="Times New Roman" w:eastAsia="TimesNewRomanPSMT" w:hAnsi="Times New Roman"/>
          <w:sz w:val="24"/>
          <w:szCs w:val="24"/>
        </w:rPr>
      </w:pPr>
      <w:r w:rsidRPr="00C55DA2">
        <w:rPr>
          <w:rFonts w:ascii="Times New Roman" w:eastAsia="TimesNewRomanPSMT" w:hAnsi="Times New Roman"/>
          <w:sz w:val="24"/>
          <w:szCs w:val="24"/>
        </w:rPr>
        <w:t xml:space="preserve">2. Kreiptis į Lietuvos Respublikos Konstitucinį Teismą prašant spręsti, ar Lietuvos Respublikos Seimo ir teisinės sistemos taikomas teisės aktas - </w:t>
      </w:r>
      <w:r w:rsidRPr="00C55DA2">
        <w:rPr>
          <w:rFonts w:ascii="Times New Roman" w:eastAsia="TimesNewRomanPS-ItalicMT" w:hAnsi="Times New Roman"/>
          <w:iCs/>
          <w:sz w:val="24"/>
          <w:szCs w:val="24"/>
        </w:rPr>
        <w:t xml:space="preserve">2003 m. gruodžio ¡ ¡ d . Vilniaus miesto 3 apylinkės teismo teisėjos </w:t>
      </w:r>
      <w:proofErr w:type="spellStart"/>
      <w:r w:rsidRPr="00C55DA2">
        <w:rPr>
          <w:rFonts w:ascii="Times New Roman" w:eastAsia="TimesNewRomanPS-ItalicMT" w:hAnsi="Times New Roman"/>
          <w:iCs/>
          <w:sz w:val="24"/>
          <w:szCs w:val="24"/>
        </w:rPr>
        <w:t>Zojos</w:t>
      </w:r>
      <w:proofErr w:type="spellEnd"/>
      <w:r w:rsidRPr="00C55DA2">
        <w:rPr>
          <w:rFonts w:ascii="Times New Roman" w:eastAsia="TimesNewRomanPS-ItalicMT" w:hAnsi="Times New Roman"/>
          <w:iCs/>
          <w:sz w:val="24"/>
          <w:szCs w:val="24"/>
        </w:rPr>
        <w:t xml:space="preserve"> </w:t>
      </w:r>
      <w:proofErr w:type="spellStart"/>
      <w:r w:rsidRPr="00C55DA2">
        <w:rPr>
          <w:rFonts w:ascii="Times New Roman" w:eastAsia="TimesNewRomanPS-ItalicMT" w:hAnsi="Times New Roman"/>
          <w:iCs/>
          <w:sz w:val="24"/>
          <w:szCs w:val="24"/>
        </w:rPr>
        <w:t>Monid</w:t>
      </w:r>
      <w:proofErr w:type="spellEnd"/>
      <w:r w:rsidRPr="00C55DA2">
        <w:rPr>
          <w:rFonts w:ascii="Times New Roman" w:eastAsia="TimesNewRomanPS-ItalicMT" w:hAnsi="Times New Roman"/>
          <w:iCs/>
          <w:sz w:val="24"/>
          <w:szCs w:val="24"/>
        </w:rPr>
        <w:t xml:space="preserve"> priimtam sprendimui civilinėje byloje Nr. 2-193-10/2003</w:t>
      </w:r>
      <w:r w:rsidRPr="00C55DA2">
        <w:rPr>
          <w:rFonts w:ascii="Times New Roman" w:eastAsia="TimesNewRomanPS-ItalicMT" w:hAnsi="Times New Roman"/>
          <w:i/>
          <w:iCs/>
          <w:sz w:val="24"/>
          <w:szCs w:val="24"/>
        </w:rPr>
        <w:t xml:space="preserve"> </w:t>
      </w:r>
      <w:r w:rsidRPr="00C55DA2">
        <w:rPr>
          <w:rFonts w:ascii="Times New Roman" w:eastAsia="TimesNewRomanPSMT" w:hAnsi="Times New Roman"/>
          <w:sz w:val="24"/>
          <w:szCs w:val="24"/>
        </w:rPr>
        <w:t xml:space="preserve">(įsigaliojąs, poįstatyminis aktas turintis įstatymo galią) neprieštarauja Lietuvos Respublikos Konstitucijos 1 str., 2 str., 3 str., 4 str., 5 str., 6 str., 7 str., 18 str., 28 str., 29 str., 30 str., 109 str. ir/ar teisėjos </w:t>
      </w:r>
      <w:proofErr w:type="spellStart"/>
      <w:r w:rsidRPr="00C55DA2">
        <w:rPr>
          <w:rFonts w:ascii="Times New Roman" w:eastAsia="TimesNewRomanPSMT" w:hAnsi="Times New Roman"/>
          <w:sz w:val="24"/>
          <w:szCs w:val="24"/>
        </w:rPr>
        <w:t>Zojos</w:t>
      </w:r>
      <w:proofErr w:type="spellEnd"/>
      <w:r w:rsidRPr="00C55DA2">
        <w:rPr>
          <w:rFonts w:ascii="Times New Roman" w:eastAsia="TimesNewRomanPSMT" w:hAnsi="Times New Roman"/>
          <w:sz w:val="24"/>
          <w:szCs w:val="24"/>
        </w:rPr>
        <w:t xml:space="preserve"> </w:t>
      </w:r>
      <w:proofErr w:type="spellStart"/>
      <w:r w:rsidRPr="00C55DA2">
        <w:rPr>
          <w:rFonts w:ascii="Times New Roman" w:eastAsia="TimesNewRomanPSMT" w:hAnsi="Times New Roman"/>
          <w:sz w:val="24"/>
          <w:szCs w:val="24"/>
        </w:rPr>
        <w:t>Monid</w:t>
      </w:r>
      <w:proofErr w:type="spellEnd"/>
      <w:r w:rsidRPr="00C55DA2">
        <w:rPr>
          <w:rFonts w:ascii="Times New Roman" w:eastAsia="TimesNewRomanPSMT" w:hAnsi="Times New Roman"/>
          <w:sz w:val="24"/>
          <w:szCs w:val="24"/>
        </w:rPr>
        <w:t xml:space="preserve"> veiksmai ir neveikimas neprieštarauja Konstitucijai bei teisingumo ir teisinės valstybės principams.</w:t>
      </w:r>
    </w:p>
    <w:p w:rsidR="00C55DA2" w:rsidRPr="00C55DA2" w:rsidRDefault="00C55DA2" w:rsidP="00A332EF">
      <w:pPr>
        <w:autoSpaceDE w:val="0"/>
        <w:autoSpaceDN w:val="0"/>
        <w:adjustRightInd w:val="0"/>
        <w:spacing w:after="0"/>
        <w:ind w:firstLine="720"/>
        <w:jc w:val="both"/>
        <w:rPr>
          <w:rFonts w:ascii="Times New Roman" w:eastAsia="TimesNewRomanPSMT" w:hAnsi="Times New Roman"/>
          <w:sz w:val="24"/>
          <w:szCs w:val="24"/>
        </w:rPr>
      </w:pPr>
      <w:r w:rsidRPr="00C55DA2">
        <w:rPr>
          <w:rFonts w:ascii="Times New Roman" w:eastAsia="TimesNewRomanPSMT" w:hAnsi="Times New Roman"/>
          <w:sz w:val="24"/>
          <w:szCs w:val="24"/>
        </w:rPr>
        <w:t xml:space="preserve">3. Kreiptis į Lietuvos Respublikos Konstitucinį Teismą prašant spręsti, ar Lietuvos Respublikos Seimo ir teisinės sistemos taikomas teisės aktas - 2005 m. lapkričio 22 d. Vilniaus miesto apylinkės prokuratūros prokurorės L. </w:t>
      </w:r>
      <w:proofErr w:type="spellStart"/>
      <w:r w:rsidRPr="00C55DA2">
        <w:rPr>
          <w:rFonts w:ascii="Times New Roman" w:eastAsia="TimesNewRomanPSMT" w:hAnsi="Times New Roman"/>
          <w:sz w:val="24"/>
          <w:szCs w:val="24"/>
        </w:rPr>
        <w:t>Valentukevičienės</w:t>
      </w:r>
      <w:proofErr w:type="spellEnd"/>
      <w:r w:rsidRPr="00C55DA2">
        <w:rPr>
          <w:rFonts w:ascii="Times New Roman" w:eastAsia="TimesNewRomanPSMT" w:hAnsi="Times New Roman"/>
          <w:sz w:val="24"/>
          <w:szCs w:val="24"/>
        </w:rPr>
        <w:t xml:space="preserve"> nutarimas nutraukti ikiteisminio tyrimo baudžiamąją bylą Nr. 10-9-064-04 neprieštarauja Lietuvos Respublikos Konstitucijos 1 str., 2 str., 3 str., 4 str., 5 str., 6 str., 7 str., 18 str., 28 str., 29 str., 30 str. ir/ar </w:t>
      </w:r>
      <w:r w:rsidRPr="00C55DA2">
        <w:rPr>
          <w:rFonts w:ascii="Times New Roman" w:eastAsia="TimesNewRomanPSMT" w:hAnsi="Times New Roman"/>
          <w:sz w:val="24"/>
          <w:szCs w:val="24"/>
        </w:rPr>
        <w:lastRenderedPageBreak/>
        <w:t xml:space="preserve">prokurorės L. </w:t>
      </w:r>
      <w:proofErr w:type="spellStart"/>
      <w:r w:rsidRPr="00C55DA2">
        <w:rPr>
          <w:rFonts w:ascii="Times New Roman" w:eastAsia="TimesNewRomanPSMT" w:hAnsi="Times New Roman"/>
          <w:sz w:val="24"/>
          <w:szCs w:val="24"/>
        </w:rPr>
        <w:t>Valentukevičienės</w:t>
      </w:r>
      <w:proofErr w:type="spellEnd"/>
      <w:r w:rsidRPr="00C55DA2">
        <w:rPr>
          <w:rFonts w:ascii="Times New Roman" w:eastAsia="TimesNewRomanPSMT" w:hAnsi="Times New Roman"/>
          <w:sz w:val="24"/>
          <w:szCs w:val="24"/>
        </w:rPr>
        <w:t xml:space="preserve"> veiksmai ir neveikimas neprieštarauja Konstitucijai bei teisingumo ir teisinės valstybės principams.</w:t>
      </w:r>
    </w:p>
    <w:p w:rsidR="00C55DA2" w:rsidRPr="00C55DA2" w:rsidRDefault="00C55DA2" w:rsidP="00A332EF">
      <w:pPr>
        <w:autoSpaceDE w:val="0"/>
        <w:autoSpaceDN w:val="0"/>
        <w:adjustRightInd w:val="0"/>
        <w:spacing w:after="0"/>
        <w:ind w:firstLine="720"/>
        <w:jc w:val="both"/>
        <w:rPr>
          <w:rFonts w:ascii="Times New Roman" w:eastAsia="TimesNewRomanPSMT" w:hAnsi="Times New Roman"/>
          <w:sz w:val="24"/>
          <w:szCs w:val="24"/>
        </w:rPr>
      </w:pPr>
      <w:r w:rsidRPr="00C55DA2">
        <w:rPr>
          <w:rFonts w:ascii="Times New Roman" w:eastAsia="TimesNewRomanPSMT" w:hAnsi="Times New Roman"/>
          <w:sz w:val="24"/>
          <w:szCs w:val="24"/>
        </w:rPr>
        <w:t xml:space="preserve">4. Kreiptis į Lietuvos Respublikos Konstitucinį Teismą prašant spręsti, ar Lietuvos Respublikos Seimo ir teisinės sistemos taikomas teisės aktas - 1996 m. rugpjūčio 29 d. Vilniaus miesto 1 apylinkės teismo teisėjos priimtas sprendimas civilinėje byloje Nr.24 – 5313 - 96 (jo tris skirtingi turinio variantai bei tris skirtingi parašai teisėjos Julijos </w:t>
      </w:r>
      <w:proofErr w:type="spellStart"/>
      <w:r w:rsidRPr="00C55DA2">
        <w:rPr>
          <w:rFonts w:ascii="Times New Roman" w:eastAsia="TimesNewRomanPSMT" w:hAnsi="Times New Roman"/>
          <w:sz w:val="24"/>
          <w:szCs w:val="24"/>
        </w:rPr>
        <w:t>Tichonovos</w:t>
      </w:r>
      <w:proofErr w:type="spellEnd"/>
      <w:r w:rsidRPr="00C55DA2">
        <w:rPr>
          <w:rFonts w:ascii="Times New Roman" w:eastAsia="TimesNewRomanPSMT" w:hAnsi="Times New Roman"/>
          <w:sz w:val="24"/>
          <w:szCs w:val="24"/>
        </w:rPr>
        <w:t xml:space="preserve">) neprieštarauja Lietuvos Respublikos Konstitucijos 1 str., 2 str., 3 str., 4 str., 5 str., 6 str., 7 str., 18 str., 28 str., 29 str., 30 str., 109 str. ir/ar teisėjos Julijos </w:t>
      </w:r>
      <w:proofErr w:type="spellStart"/>
      <w:r w:rsidRPr="00C55DA2">
        <w:rPr>
          <w:rFonts w:ascii="Times New Roman" w:eastAsia="TimesNewRomanPSMT" w:hAnsi="Times New Roman"/>
          <w:sz w:val="24"/>
          <w:szCs w:val="24"/>
        </w:rPr>
        <w:t>Tichonovos</w:t>
      </w:r>
      <w:proofErr w:type="spellEnd"/>
      <w:r w:rsidRPr="00C55DA2">
        <w:rPr>
          <w:rFonts w:ascii="Times New Roman" w:eastAsia="TimesNewRomanPSMT" w:hAnsi="Times New Roman"/>
          <w:sz w:val="24"/>
          <w:szCs w:val="24"/>
        </w:rPr>
        <w:t xml:space="preserve"> veiksmai ir neveikimas neprieštarauja Konstitucijai bei teisingumo ir teisinės valstybės principams.</w:t>
      </w:r>
    </w:p>
    <w:p w:rsidR="00C55DA2" w:rsidRPr="00C55DA2" w:rsidRDefault="00C55DA2" w:rsidP="00A332EF">
      <w:pPr>
        <w:autoSpaceDE w:val="0"/>
        <w:autoSpaceDN w:val="0"/>
        <w:adjustRightInd w:val="0"/>
        <w:spacing w:after="0"/>
        <w:ind w:firstLine="720"/>
        <w:jc w:val="both"/>
        <w:rPr>
          <w:rFonts w:ascii="Times New Roman" w:eastAsia="TimesNewRomanPSMT" w:hAnsi="Times New Roman"/>
          <w:sz w:val="24"/>
          <w:szCs w:val="24"/>
        </w:rPr>
      </w:pPr>
      <w:r w:rsidRPr="00C55DA2">
        <w:rPr>
          <w:rFonts w:ascii="Times New Roman" w:eastAsia="TimesNewRomanPSMT" w:hAnsi="Times New Roman"/>
          <w:sz w:val="24"/>
          <w:szCs w:val="24"/>
        </w:rPr>
        <w:t xml:space="preserve">5. Kreiptis į Lietuvos Respublikos Konstitucinį Teismą prašant spręsti, ar Lietuvos Respublikos Seimo ir teisinės sistemos taikomas teisės aktas - 2007m. liepos 17 d. nutartis atsisakyti atnaujinti ikiteisminio tyrimo baudžiamojoje byloje Nr. 10-9-064-04 neprieštarauja Lietuvos Respublikos Konstitucijos 1 str., 2 str., 3 str., 4 str., 5 str., 6 str., 7 str., 18 str., 28 str., 29 str., 30 str., 109 str. ir/ar teisėjos Julijos </w:t>
      </w:r>
      <w:proofErr w:type="spellStart"/>
      <w:r w:rsidRPr="00C55DA2">
        <w:rPr>
          <w:rFonts w:ascii="Times New Roman" w:eastAsia="TimesNewRomanPSMT" w:hAnsi="Times New Roman"/>
          <w:sz w:val="24"/>
          <w:szCs w:val="24"/>
        </w:rPr>
        <w:t>Tichonovos</w:t>
      </w:r>
      <w:proofErr w:type="spellEnd"/>
      <w:r w:rsidRPr="00C55DA2">
        <w:rPr>
          <w:rFonts w:ascii="Times New Roman" w:eastAsia="TimesNewRomanPSMT" w:hAnsi="Times New Roman"/>
          <w:sz w:val="24"/>
          <w:szCs w:val="24"/>
        </w:rPr>
        <w:t xml:space="preserve"> veiksmai ir neveikimas neprieštarauja Konstitucijai bei teisingumo ir teisinės valstybės principams, teisėjų nešališkumo, objektyvumo principams.</w:t>
      </w:r>
    </w:p>
    <w:p w:rsidR="00C55DA2" w:rsidRPr="00C55DA2" w:rsidRDefault="00C55DA2" w:rsidP="00A332EF">
      <w:pPr>
        <w:autoSpaceDE w:val="0"/>
        <w:autoSpaceDN w:val="0"/>
        <w:adjustRightInd w:val="0"/>
        <w:spacing w:after="0"/>
        <w:ind w:firstLine="720"/>
        <w:jc w:val="both"/>
        <w:rPr>
          <w:rFonts w:ascii="Times New Roman" w:eastAsia="TimesNewRomanPS-ItalicMT" w:hAnsi="Times New Roman"/>
          <w:i/>
          <w:iCs/>
          <w:sz w:val="24"/>
          <w:szCs w:val="24"/>
        </w:rPr>
      </w:pPr>
      <w:r w:rsidRPr="00C55DA2">
        <w:rPr>
          <w:rFonts w:ascii="Times New Roman" w:eastAsia="TimesNewRomanPSMT" w:hAnsi="Times New Roman"/>
          <w:sz w:val="24"/>
          <w:szCs w:val="24"/>
        </w:rPr>
        <w:t xml:space="preserve">6. Kreiptis į Lietuvos Respublikos Konstitucinį Teismą prašyti spręsti, ar nagrinėdamas 2013 m. lapkričio 21 d. skundą. </w:t>
      </w:r>
      <w:proofErr w:type="spellStart"/>
      <w:r w:rsidRPr="00C55DA2">
        <w:rPr>
          <w:rFonts w:ascii="Times New Roman" w:eastAsia="TimesNewRomanPSMT" w:hAnsi="Times New Roman"/>
          <w:sz w:val="24"/>
          <w:szCs w:val="24"/>
        </w:rPr>
        <w:t>Reg</w:t>
      </w:r>
      <w:proofErr w:type="spellEnd"/>
      <w:r w:rsidRPr="00C55DA2">
        <w:rPr>
          <w:rFonts w:ascii="Times New Roman" w:eastAsia="TimesNewRomanPSMT" w:hAnsi="Times New Roman"/>
          <w:sz w:val="24"/>
          <w:szCs w:val="24"/>
        </w:rPr>
        <w:t>. Nr. 5.6-5110</w:t>
      </w:r>
      <w:r w:rsidR="00594A79">
        <w:rPr>
          <w:rFonts w:ascii="Times New Roman" w:eastAsia="TimesNewRomanPSMT" w:hAnsi="Times New Roman"/>
          <w:sz w:val="24"/>
          <w:szCs w:val="24"/>
        </w:rPr>
        <w:t xml:space="preserve"> ir tiriant ikiteisminio tyrimo</w:t>
      </w:r>
      <w:bookmarkStart w:id="0" w:name="_GoBack"/>
      <w:bookmarkEnd w:id="0"/>
      <w:r w:rsidRPr="00C55DA2">
        <w:rPr>
          <w:rFonts w:ascii="Times New Roman" w:eastAsia="TimesNewRomanPS-ItalicMT" w:hAnsi="Times New Roman"/>
          <w:i/>
          <w:iCs/>
          <w:sz w:val="24"/>
          <w:szCs w:val="24"/>
        </w:rPr>
        <w:t xml:space="preserve">) </w:t>
      </w:r>
      <w:r w:rsidRPr="00C55DA2">
        <w:rPr>
          <w:rFonts w:ascii="Times New Roman" w:eastAsia="TimesNewRomanPSMT" w:hAnsi="Times New Roman"/>
          <w:sz w:val="24"/>
          <w:szCs w:val="24"/>
        </w:rPr>
        <w:t xml:space="preserve">baudžiamąją bylą Nr. 10-9-064-04 Lietuvos Respublikos Generalinio prokuroro ir jam pavaldžių prokurorų veiksmai ir neveikimas neprieštarauja </w:t>
      </w:r>
      <w:proofErr w:type="spellStart"/>
      <w:r w:rsidRPr="00C55DA2">
        <w:rPr>
          <w:rFonts w:ascii="Times New Roman" w:eastAsia="TimesNewRomanPS-ItalicMT" w:hAnsi="Times New Roman"/>
          <w:i/>
          <w:iCs/>
          <w:sz w:val="24"/>
          <w:szCs w:val="24"/>
        </w:rPr>
        <w:t>inter</w:t>
      </w:r>
      <w:proofErr w:type="spellEnd"/>
      <w:r w:rsidRPr="00C55DA2">
        <w:rPr>
          <w:rFonts w:ascii="Times New Roman" w:eastAsia="TimesNewRomanPS-ItalicMT" w:hAnsi="Times New Roman"/>
          <w:i/>
          <w:iCs/>
          <w:sz w:val="24"/>
          <w:szCs w:val="24"/>
        </w:rPr>
        <w:t xml:space="preserve"> </w:t>
      </w:r>
      <w:proofErr w:type="spellStart"/>
      <w:r w:rsidRPr="00C55DA2">
        <w:rPr>
          <w:rFonts w:ascii="Times New Roman" w:eastAsia="TimesNewRomanPS-ItalicMT" w:hAnsi="Times New Roman"/>
          <w:i/>
          <w:iCs/>
          <w:sz w:val="24"/>
          <w:szCs w:val="24"/>
        </w:rPr>
        <w:t>alia</w:t>
      </w:r>
      <w:proofErr w:type="spellEnd"/>
      <w:r w:rsidRPr="00C55DA2">
        <w:rPr>
          <w:rFonts w:ascii="Times New Roman" w:eastAsia="TimesNewRomanPS-ItalicMT" w:hAnsi="Times New Roman"/>
          <w:i/>
          <w:iCs/>
          <w:sz w:val="24"/>
          <w:szCs w:val="24"/>
        </w:rPr>
        <w:t xml:space="preserve"> </w:t>
      </w:r>
      <w:r w:rsidRPr="00C55DA2">
        <w:rPr>
          <w:rFonts w:ascii="Times New Roman" w:eastAsia="TimesNewRomanPSMT" w:hAnsi="Times New Roman"/>
          <w:sz w:val="24"/>
          <w:szCs w:val="24"/>
        </w:rPr>
        <w:t xml:space="preserve">Lietuvos Respublikos Konstitucijos 118 straipsnio 1 dalies nuostatai: </w:t>
      </w:r>
      <w:r w:rsidRPr="00C55DA2">
        <w:rPr>
          <w:rFonts w:ascii="Times New Roman" w:eastAsia="TimesNewRomanPS-ItalicMT" w:hAnsi="Times New Roman"/>
          <w:i/>
          <w:iCs/>
          <w:sz w:val="24"/>
          <w:szCs w:val="24"/>
        </w:rPr>
        <w:t xml:space="preserve">Ikiteisminį tyrimą organizuoja ir jam vadovauja </w:t>
      </w:r>
      <w:r w:rsidRPr="00C55DA2">
        <w:rPr>
          <w:rFonts w:ascii="Times New Roman" w:eastAsia="TimesNewRomanPSMT" w:hAnsi="Times New Roman"/>
          <w:sz w:val="24"/>
          <w:szCs w:val="24"/>
        </w:rPr>
        <w:t xml:space="preserve">&lt;...&gt; </w:t>
      </w:r>
      <w:r w:rsidRPr="00C55DA2">
        <w:rPr>
          <w:rFonts w:ascii="Times New Roman" w:eastAsia="TimesNewRomanPS-ItalicMT" w:hAnsi="Times New Roman"/>
          <w:i/>
          <w:iCs/>
          <w:sz w:val="24"/>
          <w:szCs w:val="24"/>
        </w:rPr>
        <w:t>prokuroras</w:t>
      </w:r>
      <w:r w:rsidRPr="00C55DA2">
        <w:rPr>
          <w:rFonts w:ascii="Times New Roman" w:eastAsia="TimesNewRomanPSMT" w:hAnsi="Times New Roman"/>
          <w:sz w:val="24"/>
          <w:szCs w:val="24"/>
        </w:rPr>
        <w:t xml:space="preserve">“ ir Lietuvos Respublikos Generalinio prokuroro ir jam pavaldžių prokurorų veiksmai ir neveikimas neprieštarauja </w:t>
      </w:r>
      <w:proofErr w:type="spellStart"/>
      <w:r w:rsidRPr="00C55DA2">
        <w:rPr>
          <w:rFonts w:ascii="Times New Roman" w:eastAsia="TimesNewRomanPS-ItalicMT" w:hAnsi="Times New Roman"/>
          <w:i/>
          <w:iCs/>
          <w:sz w:val="24"/>
          <w:szCs w:val="24"/>
        </w:rPr>
        <w:t>inter</w:t>
      </w:r>
      <w:proofErr w:type="spellEnd"/>
      <w:r w:rsidRPr="00C55DA2">
        <w:rPr>
          <w:rFonts w:ascii="Times New Roman" w:eastAsia="TimesNewRomanPS-ItalicMT" w:hAnsi="Times New Roman"/>
          <w:i/>
          <w:iCs/>
          <w:sz w:val="24"/>
          <w:szCs w:val="24"/>
        </w:rPr>
        <w:t xml:space="preserve"> </w:t>
      </w:r>
      <w:proofErr w:type="spellStart"/>
      <w:r w:rsidRPr="00C55DA2">
        <w:rPr>
          <w:rFonts w:ascii="Times New Roman" w:eastAsia="TimesNewRomanPS-ItalicMT" w:hAnsi="Times New Roman"/>
          <w:i/>
          <w:iCs/>
          <w:sz w:val="24"/>
          <w:szCs w:val="24"/>
        </w:rPr>
        <w:t>alia</w:t>
      </w:r>
      <w:proofErr w:type="spellEnd"/>
      <w:r w:rsidRPr="00C55DA2">
        <w:rPr>
          <w:rFonts w:ascii="Times New Roman" w:eastAsia="TimesNewRomanPS-ItalicMT" w:hAnsi="Times New Roman"/>
          <w:i/>
          <w:iCs/>
          <w:sz w:val="24"/>
          <w:szCs w:val="24"/>
        </w:rPr>
        <w:t xml:space="preserve"> </w:t>
      </w:r>
      <w:r w:rsidRPr="00C55DA2">
        <w:rPr>
          <w:rFonts w:ascii="Times New Roman" w:eastAsia="TimesNewRomanPSMT" w:hAnsi="Times New Roman"/>
          <w:sz w:val="24"/>
          <w:szCs w:val="24"/>
        </w:rPr>
        <w:t xml:space="preserve">Lietuvos Respublikos Konstitucijos 118 straipsnio 2 dalies nuostatai: </w:t>
      </w:r>
      <w:r w:rsidRPr="00C55DA2">
        <w:rPr>
          <w:rFonts w:ascii="Times New Roman" w:eastAsia="TimesNewRomanPS-ItalicMT" w:hAnsi="Times New Roman"/>
          <w:i/>
          <w:iCs/>
          <w:sz w:val="24"/>
          <w:szCs w:val="24"/>
        </w:rPr>
        <w:t>^Prokuroras įstatymo nustatytais atvejais gina asmens, visuomenės ir valstybės teisės bei teisėtus interesus.</w:t>
      </w:r>
    </w:p>
    <w:p w:rsidR="00C55DA2" w:rsidRPr="00C55DA2" w:rsidRDefault="00C55DA2" w:rsidP="00A332EF">
      <w:pPr>
        <w:autoSpaceDE w:val="0"/>
        <w:autoSpaceDN w:val="0"/>
        <w:adjustRightInd w:val="0"/>
        <w:spacing w:after="0"/>
        <w:ind w:firstLine="720"/>
        <w:jc w:val="both"/>
        <w:rPr>
          <w:rFonts w:ascii="Times New Roman" w:eastAsia="TimesNewRomanPSMT" w:hAnsi="Times New Roman"/>
          <w:sz w:val="24"/>
          <w:szCs w:val="24"/>
        </w:rPr>
      </w:pPr>
      <w:r w:rsidRPr="00C55DA2">
        <w:rPr>
          <w:rFonts w:ascii="Times New Roman" w:eastAsia="TimesNewRomanPSMT" w:hAnsi="Times New Roman"/>
          <w:sz w:val="24"/>
          <w:szCs w:val="24"/>
        </w:rPr>
        <w:t>7. Kreiptis į Lietuvos Respublikos Konstitucinį Teismą prašant spręsti, ar Lietuvos Respublikos Seimo ir teisinės sistemos taikomas teisės aktas - 2013 m. gruodžio 23 d. Lietuvos Respublikos Seimo Antikorupcijos komisijos Pirmininko Vitalijaus Gailius sprendimas Nr. S-2013-10902 neprieštarauja Lietuvos Respublikos Konstitucijos 1 str., 2 str., 3 str., 4 str., 5 str., 6 str., 7 str., 18 str., 28 str., 29 str., 30 str. ir/ar Lietuvos Respublikos Seimo nario veiksmai ir neveikimas neprieštarauja Konstitucijai, Lietuvos Respublikos Seimo Statuto 3 str., 9 str., 18 str., 25 str., 71 str., 72 str., 73 str., kitiems įstatymams bei teisingumo ir teisinės valstybės principams.</w:t>
      </w:r>
    </w:p>
    <w:p w:rsidR="00C55DA2" w:rsidRPr="00C55DA2" w:rsidRDefault="00C55DA2" w:rsidP="00A332EF">
      <w:pPr>
        <w:autoSpaceDE w:val="0"/>
        <w:autoSpaceDN w:val="0"/>
        <w:adjustRightInd w:val="0"/>
        <w:spacing w:after="0"/>
        <w:ind w:firstLine="720"/>
        <w:jc w:val="both"/>
        <w:rPr>
          <w:rFonts w:ascii="Times New Roman" w:eastAsia="TimesNewRomanPSMT" w:hAnsi="Times New Roman"/>
          <w:sz w:val="24"/>
          <w:szCs w:val="24"/>
        </w:rPr>
      </w:pPr>
      <w:r w:rsidRPr="00C55DA2">
        <w:rPr>
          <w:rFonts w:ascii="Times New Roman" w:eastAsia="TimesNewRomanPSMT" w:hAnsi="Times New Roman"/>
          <w:sz w:val="24"/>
          <w:szCs w:val="24"/>
        </w:rPr>
        <w:t>8. Kreiptis į Lietuvos Respublikos Konstitucinį Teismą prašant spręsti, ar Lietuvos Respublikos Seimo ir teisinės sistemos taikomas teisės aktas - spręsti, ar byloje taikomas 2014 m. sausio 31 d. Lietuvos Respublikos Seimo teisės aktas Nr. S-2014-953 neprieštarauja Lietuvos Respublikos Konstitucijos 1 str., 2 str., 3 str., 4 str., 5 str., 6 str., 7 str., 18 str., 28 str., 29 str., 30 str. bei teisingumo ir teisinės valstybės principams bei ar Lietuvos Respublikos Seimo teisės ir teisėtvarkos komiteto pirmininko Julijaus Sabatausko veiksmai ir neveikimas neprieštarauja Lietuvos Respublikos Konstitucijai.</w:t>
      </w:r>
    </w:p>
    <w:p w:rsidR="00C55DA2" w:rsidRPr="00C55DA2" w:rsidRDefault="00C55DA2" w:rsidP="00C55DA2">
      <w:pPr>
        <w:autoSpaceDE w:val="0"/>
        <w:autoSpaceDN w:val="0"/>
        <w:adjustRightInd w:val="0"/>
        <w:spacing w:after="0"/>
        <w:ind w:firstLine="720"/>
        <w:jc w:val="both"/>
        <w:rPr>
          <w:rFonts w:ascii="Times New Roman" w:eastAsia="TimesNewRomanPSMT" w:hAnsi="Times New Roman"/>
          <w:sz w:val="24"/>
          <w:szCs w:val="24"/>
        </w:rPr>
      </w:pPr>
      <w:r w:rsidRPr="00C55DA2">
        <w:rPr>
          <w:rFonts w:ascii="Times New Roman" w:eastAsia="TimesNewRomanPSMT" w:hAnsi="Times New Roman"/>
          <w:sz w:val="24"/>
          <w:szCs w:val="24"/>
        </w:rPr>
        <w:t xml:space="preserve">9. Kreiptis į Lietuvos Respublikos Konstitucinį Teismą prašant spręsti, ar Lietuvos Respublikos Seimo ir teisinės sistemos taikomas teisės aktas — 2014 m. sausio 22 d. Lietuvos Respublikos Seimo aktas Nr. S-2014-654 neprieštarauja Lietuvos Respublikos </w:t>
      </w:r>
      <w:r w:rsidRPr="00C55DA2">
        <w:rPr>
          <w:rFonts w:ascii="Times New Roman" w:eastAsia="TimesNewRomanPSMT" w:hAnsi="Times New Roman"/>
          <w:sz w:val="24"/>
          <w:szCs w:val="24"/>
        </w:rPr>
        <w:lastRenderedPageBreak/>
        <w:t xml:space="preserve">Konstitucijos 1 str., 2 str., 3 str., 4 str., 5 str., 6 str., 7 str., 18 str., 28 str., 29 str., 30 str. bei teisingumo ir teisinės valstybės principams bei ar Lietuvos Respublikos Seimo kanceliarijos komunikacijos departamento priėmimo skyriaus vedėjos Birutės </w:t>
      </w:r>
      <w:proofErr w:type="spellStart"/>
      <w:r w:rsidRPr="00C55DA2">
        <w:rPr>
          <w:rFonts w:ascii="Times New Roman" w:eastAsia="TimesNewRomanPSMT" w:hAnsi="Times New Roman"/>
          <w:sz w:val="24"/>
          <w:szCs w:val="24"/>
        </w:rPr>
        <w:t>Baltrušaitytės</w:t>
      </w:r>
      <w:proofErr w:type="spellEnd"/>
      <w:r w:rsidRPr="00C55DA2">
        <w:rPr>
          <w:rFonts w:ascii="Times New Roman" w:eastAsia="TimesNewRomanPSMT" w:hAnsi="Times New Roman"/>
          <w:sz w:val="24"/>
          <w:szCs w:val="24"/>
        </w:rPr>
        <w:t xml:space="preserve"> veiksmai ir neveikimas neprieštarauja Lietuvos Respublikos Konstitucijai.</w:t>
      </w:r>
    </w:p>
    <w:p w:rsidR="00C55DA2" w:rsidRDefault="00C55DA2" w:rsidP="00C55DA2">
      <w:pPr>
        <w:autoSpaceDE w:val="0"/>
        <w:autoSpaceDN w:val="0"/>
        <w:adjustRightInd w:val="0"/>
        <w:spacing w:after="0"/>
        <w:ind w:firstLine="720"/>
        <w:jc w:val="both"/>
        <w:rPr>
          <w:rFonts w:ascii="Times New Roman" w:eastAsia="TimesNewRomanPSMT" w:hAnsi="Times New Roman"/>
          <w:sz w:val="24"/>
          <w:szCs w:val="24"/>
        </w:rPr>
      </w:pPr>
      <w:r w:rsidRPr="00C55DA2">
        <w:rPr>
          <w:rFonts w:ascii="Times New Roman" w:eastAsia="TimesNewRomanPSMT" w:hAnsi="Times New Roman"/>
          <w:sz w:val="24"/>
          <w:szCs w:val="24"/>
        </w:rPr>
        <w:t>10. Kreiptis į Lietuvos Respublikos Konstitucinį Teismą prašant spręsti, ar Lietuvos Respublikos Seimo ir teisinės sistemos taikomi ir kiti teisės aktai, kurie įteisina paminėtus teisės aktus, kurie neprieštarauja Lietuvos  Respublikos Konstitucijos 7 straipsnio 1 ir 2 daliai.“</w:t>
      </w:r>
    </w:p>
    <w:p w:rsidR="00FF0AEE" w:rsidRPr="00785C0B" w:rsidRDefault="00FF0AEE" w:rsidP="00A332EF">
      <w:pPr>
        <w:autoSpaceDE w:val="0"/>
        <w:autoSpaceDN w:val="0"/>
        <w:adjustRightInd w:val="0"/>
        <w:spacing w:after="0"/>
        <w:ind w:firstLine="720"/>
        <w:jc w:val="both"/>
        <w:rPr>
          <w:rFonts w:ascii="Times New Roman" w:hAnsi="Times New Roman"/>
          <w:sz w:val="24"/>
          <w:szCs w:val="24"/>
        </w:rPr>
      </w:pPr>
      <w:r w:rsidRPr="00785C0B">
        <w:rPr>
          <w:rFonts w:ascii="Times New Roman" w:eastAsia="TimesNewRomanPSMT" w:hAnsi="Times New Roman"/>
          <w:sz w:val="24"/>
          <w:szCs w:val="24"/>
        </w:rPr>
        <w:t xml:space="preserve">Trečiuoju klausimu buvo priimtas sprendimas Kęstučio </w:t>
      </w:r>
      <w:proofErr w:type="spellStart"/>
      <w:r w:rsidRPr="00785C0B">
        <w:rPr>
          <w:rFonts w:ascii="Times New Roman" w:eastAsia="TimesNewRomanPSMT" w:hAnsi="Times New Roman"/>
          <w:sz w:val="24"/>
          <w:szCs w:val="24"/>
        </w:rPr>
        <w:t>Vilkausko</w:t>
      </w:r>
      <w:proofErr w:type="spellEnd"/>
      <w:r w:rsidRPr="00785C0B">
        <w:rPr>
          <w:rFonts w:ascii="Times New Roman" w:eastAsia="TimesNewRomanPSMT" w:hAnsi="Times New Roman"/>
          <w:sz w:val="24"/>
          <w:szCs w:val="24"/>
        </w:rPr>
        <w:t xml:space="preserve"> kreipimąsi</w:t>
      </w:r>
      <w:r w:rsidR="00A23321" w:rsidRPr="00785C0B">
        <w:rPr>
          <w:rFonts w:ascii="Times New Roman" w:eastAsia="TimesNewRomanPSMT" w:hAnsi="Times New Roman"/>
          <w:sz w:val="24"/>
          <w:szCs w:val="24"/>
        </w:rPr>
        <w:t xml:space="preserve"> </w:t>
      </w:r>
      <w:r w:rsidR="00A23321" w:rsidRPr="00785C0B">
        <w:rPr>
          <w:rFonts w:ascii="Times New Roman" w:hAnsi="Times New Roman"/>
          <w:sz w:val="24"/>
          <w:szCs w:val="24"/>
        </w:rPr>
        <w:t>„Dėl Lietuvos Respublikos alkoholio kontrolės įstatymo 23 ir 29 straipsnių pakeitimų“ pripažinti peticija ir priimti ją nagrinėti.</w:t>
      </w:r>
    </w:p>
    <w:p w:rsidR="00A332EF" w:rsidRPr="00785C0B" w:rsidRDefault="00A332EF" w:rsidP="00785C0B">
      <w:pPr>
        <w:autoSpaceDE w:val="0"/>
        <w:autoSpaceDN w:val="0"/>
        <w:adjustRightInd w:val="0"/>
        <w:ind w:firstLine="720"/>
        <w:jc w:val="both"/>
        <w:rPr>
          <w:rFonts w:ascii="Times New Roman" w:eastAsia="TimesNewRomanPSMT" w:hAnsi="Times New Roman"/>
          <w:sz w:val="24"/>
          <w:szCs w:val="24"/>
        </w:rPr>
      </w:pPr>
      <w:r w:rsidRPr="00785C0B">
        <w:rPr>
          <w:rFonts w:ascii="Times New Roman" w:hAnsi="Times New Roman"/>
          <w:sz w:val="24"/>
          <w:szCs w:val="24"/>
        </w:rPr>
        <w:t>Pareiškėjas siūlo papildyti Lietuvos Respublikos alkoholio kontrolės įstatymo 23 straipsnį 4 dalimi, skelbiančia, kad</w:t>
      </w:r>
      <w:r w:rsidRPr="00785C0B">
        <w:rPr>
          <w:rFonts w:ascii="Times New Roman" w:eastAsia="TimesNewRomanPSMT" w:hAnsi="Times New Roman"/>
          <w:sz w:val="24"/>
          <w:szCs w:val="24"/>
        </w:rPr>
        <w:t xml:space="preserve"> „</w:t>
      </w:r>
      <w:r w:rsidRPr="00785C0B">
        <w:rPr>
          <w:rFonts w:ascii="Times New Roman" w:hAnsi="Times New Roman"/>
          <w:bCs/>
          <w:sz w:val="24"/>
          <w:szCs w:val="24"/>
        </w:rPr>
        <w:t xml:space="preserve">Visos įmonės, gaminančios ar importuojančios alkoholinius gėrimus į Lietuvos Respublikos teritoriją, </w:t>
      </w:r>
      <w:r w:rsidRPr="00785C0B">
        <w:rPr>
          <w:rFonts w:ascii="Times New Roman" w:hAnsi="Times New Roman"/>
          <w:sz w:val="24"/>
          <w:szCs w:val="24"/>
        </w:rPr>
        <w:t>privalo parengti reklaminę informaciją apie alkoholinius gėrimus, jų daromą žalą sveikatai ir ūkiui, taip pat sveikatai palankios aplinkos, užkertančios kelią alkoholio vartojimo daromai žalai, kūrimą bei sveikos gyvensenos puoselėjimą.“, taip pat pakeisti minėto įstatymo 29 straipsnio 2 dalies 1 ir 3 punktus.</w:t>
      </w:r>
    </w:p>
    <w:p w:rsidR="009C7459" w:rsidRPr="00C55DA2" w:rsidRDefault="009C7459" w:rsidP="00C55DA2">
      <w:pPr>
        <w:spacing w:after="0"/>
        <w:ind w:firstLine="709"/>
        <w:jc w:val="both"/>
        <w:rPr>
          <w:rFonts w:ascii="Times New Roman" w:hAnsi="Times New Roman" w:cs="Times New Roman"/>
          <w:sz w:val="24"/>
          <w:szCs w:val="24"/>
        </w:rPr>
      </w:pPr>
    </w:p>
    <w:p w:rsidR="00785C0B" w:rsidRDefault="00785C0B" w:rsidP="00785C0B">
      <w:pPr>
        <w:spacing w:line="360" w:lineRule="auto"/>
        <w:jc w:val="both"/>
        <w:rPr>
          <w:rFonts w:ascii="Times New Roman" w:hAnsi="Times New Roman"/>
          <w:sz w:val="24"/>
        </w:rPr>
      </w:pPr>
      <w:r>
        <w:rPr>
          <w:rFonts w:ascii="Times New Roman" w:hAnsi="Times New Roman"/>
          <w:sz w:val="24"/>
          <w:szCs w:val="24"/>
        </w:rPr>
        <w:t xml:space="preserve">Komisijų biuro patarėja Janina </w:t>
      </w:r>
      <w:proofErr w:type="spellStart"/>
      <w:r>
        <w:rPr>
          <w:rFonts w:ascii="Times New Roman" w:hAnsi="Times New Roman"/>
          <w:sz w:val="24"/>
          <w:szCs w:val="24"/>
        </w:rPr>
        <w:t>Šniaukštienė</w:t>
      </w:r>
      <w:proofErr w:type="spellEnd"/>
      <w:r>
        <w:rPr>
          <w:rFonts w:ascii="Times New Roman" w:hAnsi="Times New Roman"/>
          <w:sz w:val="24"/>
          <w:szCs w:val="24"/>
        </w:rPr>
        <w:t xml:space="preserve">, tel. </w:t>
      </w:r>
      <w:r w:rsidRPr="00AF1C8B">
        <w:rPr>
          <w:rFonts w:ascii="Times New Roman" w:hAnsi="Times New Roman"/>
          <w:sz w:val="24"/>
          <w:szCs w:val="24"/>
        </w:rPr>
        <w:t>(8 5) 239 6819,</w:t>
      </w:r>
      <w:r>
        <w:rPr>
          <w:rFonts w:ascii="Times New Roman" w:hAnsi="Times New Roman"/>
          <w:sz w:val="24"/>
          <w:szCs w:val="24"/>
        </w:rPr>
        <w:t xml:space="preserve"> </w:t>
      </w:r>
      <w:r w:rsidRPr="00AF1C8B">
        <w:rPr>
          <w:rFonts w:ascii="Times New Roman" w:hAnsi="Times New Roman"/>
          <w:sz w:val="24"/>
          <w:szCs w:val="24"/>
        </w:rPr>
        <w:t xml:space="preserve">el. p. jasnia@lrs.lt </w:t>
      </w:r>
    </w:p>
    <w:p w:rsidR="005426AD" w:rsidRPr="00C55DA2" w:rsidRDefault="005426AD" w:rsidP="00C55DA2">
      <w:pPr>
        <w:ind w:firstLine="709"/>
        <w:rPr>
          <w:rFonts w:ascii="Times New Roman" w:hAnsi="Times New Roman" w:cs="Times New Roman"/>
          <w:sz w:val="24"/>
          <w:szCs w:val="24"/>
        </w:rPr>
      </w:pPr>
    </w:p>
    <w:sectPr w:rsidR="005426AD" w:rsidRPr="00C55DA2">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TimesNewRomanPS-ItalicM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867"/>
    <w:rsid w:val="005426AD"/>
    <w:rsid w:val="00594A79"/>
    <w:rsid w:val="00785C0B"/>
    <w:rsid w:val="00891867"/>
    <w:rsid w:val="009C7459"/>
    <w:rsid w:val="00A13996"/>
    <w:rsid w:val="00A23321"/>
    <w:rsid w:val="00A332EF"/>
    <w:rsid w:val="00C55DA2"/>
    <w:rsid w:val="00F634DF"/>
    <w:rsid w:val="00FF0A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9186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91867"/>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10157</Words>
  <Characters>5790</Characters>
  <Application>Microsoft Office Word</Application>
  <DocSecurity>0</DocSecurity>
  <Lines>48</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9</cp:revision>
  <dcterms:created xsi:type="dcterms:W3CDTF">2014-03-24T13:44:00Z</dcterms:created>
  <dcterms:modified xsi:type="dcterms:W3CDTF">2014-03-25T10:46:00Z</dcterms:modified>
</cp:coreProperties>
</file>