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243" w:rsidRPr="00FA56FF" w:rsidRDefault="00AF3E9C" w:rsidP="00FA56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6FF">
        <w:rPr>
          <w:rFonts w:ascii="Times New Roman" w:hAnsi="Times New Roman" w:cs="Times New Roman"/>
          <w:b/>
          <w:sz w:val="24"/>
          <w:szCs w:val="24"/>
        </w:rPr>
        <w:t>Informacija apie 2014 m. kovo 19 d. posėdį</w:t>
      </w:r>
    </w:p>
    <w:p w:rsidR="00FA56FF" w:rsidRPr="00FA56FF" w:rsidRDefault="00FA56FF" w:rsidP="00D32D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6FF">
        <w:rPr>
          <w:rFonts w:ascii="Times New Roman" w:hAnsi="Times New Roman" w:cs="Times New Roman"/>
          <w:sz w:val="24"/>
          <w:szCs w:val="24"/>
        </w:rPr>
        <w:t>2014 m. kovo 19 d. įvyko Komisijos posėdis, kuriame buvo nagrinėjami šie klausimai:</w:t>
      </w:r>
    </w:p>
    <w:p w:rsidR="00FA56FF" w:rsidRPr="00FA56FF" w:rsidRDefault="00FA56FF" w:rsidP="00D32DB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FA56FF">
        <w:rPr>
          <w:rFonts w:ascii="Times New Roman" w:hAnsi="Times New Roman" w:cs="Times New Roman"/>
          <w:sz w:val="24"/>
          <w:szCs w:val="24"/>
        </w:rPr>
        <w:t xml:space="preserve">Jono Mažeikos ir kitų pareiškėjų peticijos </w:t>
      </w:r>
      <w:r w:rsidRPr="00FA56FF">
        <w:rPr>
          <w:rFonts w:ascii="Times New Roman" w:hAnsi="Times New Roman"/>
          <w:sz w:val="24"/>
          <w:szCs w:val="24"/>
        </w:rPr>
        <w:t>„Dėl Lietuvos Respublikos bausmių vykdymo kodekso 157 straipsnio pakeitimo“ nagrinėjimas iš esmės.</w:t>
      </w:r>
    </w:p>
    <w:p w:rsidR="00FA56FF" w:rsidRPr="00FA56FF" w:rsidRDefault="00FA56FF" w:rsidP="00D32DB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Pr="00FA56FF"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 w:rsidRPr="00FA56FF">
        <w:rPr>
          <w:rFonts w:ascii="Times New Roman" w:hAnsi="Times New Roman"/>
          <w:sz w:val="24"/>
          <w:szCs w:val="24"/>
        </w:rPr>
        <w:t>Vilkausko</w:t>
      </w:r>
      <w:proofErr w:type="spellEnd"/>
      <w:r w:rsidRPr="00FA56FF">
        <w:rPr>
          <w:rFonts w:ascii="Times New Roman" w:hAnsi="Times New Roman"/>
          <w:sz w:val="24"/>
          <w:szCs w:val="24"/>
        </w:rPr>
        <w:t xml:space="preserve"> peticijos „Dėl Lietuvos Respublikos bausmių vykdymo kodekso ketvirtojo skirsnio bei 147, 148, 154, 155, 156 straipsnių pakeitimo“ nagrinėjimas iš esmės.</w:t>
      </w:r>
    </w:p>
    <w:p w:rsidR="00FA56FF" w:rsidRDefault="00FA56FF" w:rsidP="00D32DB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Pr="00FA56FF"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 w:rsidRPr="00FA56FF">
        <w:rPr>
          <w:rFonts w:ascii="Times New Roman" w:hAnsi="Times New Roman"/>
          <w:sz w:val="24"/>
          <w:szCs w:val="24"/>
        </w:rPr>
        <w:t>Vilkausko</w:t>
      </w:r>
      <w:proofErr w:type="spellEnd"/>
      <w:r w:rsidRPr="00FA56FF">
        <w:rPr>
          <w:rFonts w:ascii="Times New Roman" w:hAnsi="Times New Roman"/>
          <w:sz w:val="24"/>
          <w:szCs w:val="24"/>
        </w:rPr>
        <w:t xml:space="preserve"> peticijos „Dėl Lietuvos Respublikos švietimo įstatymo 33 straipsnio pakeitimo“ nagrinėjimas iš esmės.</w:t>
      </w:r>
    </w:p>
    <w:p w:rsidR="00B46A8A" w:rsidRDefault="00B46A8A" w:rsidP="00F7198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B46A8A" w:rsidRPr="00CA681C" w:rsidRDefault="00B46A8A" w:rsidP="00F7198B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Pirmuoju klausimu</w:t>
      </w:r>
      <w:r w:rsidRPr="00B46A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iš esmės išnagrinėjus</w:t>
      </w:r>
      <w:r w:rsidRPr="006914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Jono Mažeikos ir kitų pareiškėjų</w:t>
      </w:r>
      <w:r w:rsidRPr="00691494">
        <w:rPr>
          <w:rFonts w:ascii="Times New Roman" w:hAnsi="Times New Roman"/>
          <w:sz w:val="24"/>
          <w:szCs w:val="24"/>
        </w:rPr>
        <w:t xml:space="preserve"> peticiją </w:t>
      </w:r>
      <w:r w:rsidRPr="003018F2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 xml:space="preserve">Dėl </w:t>
      </w:r>
      <w:r w:rsidRPr="005E4EF9">
        <w:rPr>
          <w:rFonts w:ascii="Times New Roman" w:hAnsi="Times New Roman"/>
          <w:sz w:val="24"/>
          <w:szCs w:val="24"/>
        </w:rPr>
        <w:t xml:space="preserve">Lietuvos Respublikos </w:t>
      </w:r>
      <w:r>
        <w:rPr>
          <w:rFonts w:ascii="Times New Roman" w:hAnsi="Times New Roman"/>
          <w:sz w:val="24"/>
          <w:szCs w:val="24"/>
        </w:rPr>
        <w:t>bausmių vykdymo kodekso</w:t>
      </w:r>
      <w:r w:rsidRPr="001831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157 straipsnio</w:t>
      </w:r>
      <w:r w:rsidRPr="00183157">
        <w:rPr>
          <w:rFonts w:ascii="Times New Roman" w:hAnsi="Times New Roman"/>
          <w:sz w:val="24"/>
          <w:szCs w:val="24"/>
        </w:rPr>
        <w:t xml:space="preserve"> pakeitimo“</w:t>
      </w:r>
      <w:r>
        <w:rPr>
          <w:rFonts w:ascii="Times New Roman" w:hAnsi="Times New Roman"/>
          <w:sz w:val="24"/>
          <w:szCs w:val="24"/>
        </w:rPr>
        <w:t>,</w:t>
      </w:r>
      <w:r w:rsidRPr="001831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buvo priimtas </w:t>
      </w:r>
      <w:r w:rsidR="00087E84">
        <w:rPr>
          <w:rFonts w:ascii="Times New Roman" w:hAnsi="Times New Roman"/>
          <w:sz w:val="24"/>
          <w:szCs w:val="24"/>
        </w:rPr>
        <w:t xml:space="preserve">sprendimas </w:t>
      </w:r>
      <w:r>
        <w:rPr>
          <w:rFonts w:ascii="Times New Roman" w:hAnsi="Times New Roman"/>
          <w:sz w:val="24"/>
          <w:szCs w:val="24"/>
        </w:rPr>
        <w:t xml:space="preserve">atmesti joje pateiktą pasiūlymą 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priimti Lietuvos Respublikos </w:t>
      </w:r>
      <w:r>
        <w:rPr>
          <w:rFonts w:ascii="Times New Roman" w:eastAsia="TimesNewRomanPSMT" w:hAnsi="Times New Roman"/>
          <w:sz w:val="24"/>
          <w:szCs w:val="24"/>
        </w:rPr>
        <w:t>bausmių vykdymo kodekso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 Probacijos sistemos Lietuvoje koncepcijos pataisą, </w:t>
      </w:r>
      <w:r>
        <w:rPr>
          <w:rFonts w:ascii="Times New Roman" w:eastAsia="TimesNewRomanPSMT" w:hAnsi="Times New Roman"/>
          <w:sz w:val="24"/>
          <w:szCs w:val="24"/>
        </w:rPr>
        <w:t>į Bausmių vykdymo kodekso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 xml:space="preserve">157 straipsnio 3 dalį </w:t>
      </w:r>
      <w:r w:rsidRPr="00CA681C">
        <w:rPr>
          <w:rFonts w:ascii="Times New Roman" w:eastAsia="TimesNewRomanPSMT" w:hAnsi="Times New Roman"/>
          <w:sz w:val="24"/>
          <w:szCs w:val="24"/>
        </w:rPr>
        <w:t>įrašant papildomus punktus</w:t>
      </w:r>
      <w:r>
        <w:rPr>
          <w:rFonts w:ascii="Times New Roman" w:eastAsia="TimesNewRomanPSMT" w:hAnsi="Times New Roman"/>
          <w:sz w:val="24"/>
          <w:szCs w:val="24"/>
        </w:rPr>
        <w:t>: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1) a</w:t>
      </w:r>
      <w:r w:rsidRPr="00CA681C">
        <w:rPr>
          <w:rFonts w:ascii="Times New Roman" w:eastAsia="TimesNewRomanPSMT" w:hAnsi="Times New Roman"/>
          <w:sz w:val="24"/>
          <w:szCs w:val="24"/>
        </w:rPr>
        <w:t>sm</w:t>
      </w:r>
      <w:r>
        <w:rPr>
          <w:rFonts w:ascii="Times New Roman" w:eastAsia="TimesNewRomanPSMT" w:hAnsi="Times New Roman"/>
          <w:sz w:val="24"/>
          <w:szCs w:val="24"/>
        </w:rPr>
        <w:t>enims, turintiems vaikų iki 7 metų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 arba du ir daugiau nepilnamečius vaikus (jei</w:t>
      </w:r>
      <w:r>
        <w:rPr>
          <w:rFonts w:ascii="Times New Roman" w:eastAsia="TimesNewRomanPSMT" w:hAnsi="Times New Roman"/>
          <w:sz w:val="24"/>
          <w:szCs w:val="24"/>
        </w:rPr>
        <w:t>gu nėra apribotos tėvų teisės), suteikti galimybę</w:t>
      </w:r>
      <w:r w:rsidRPr="00CA681C">
        <w:rPr>
          <w:rFonts w:ascii="Times New Roman" w:eastAsia="TimesNewRomanPSMT" w:hAnsi="Times New Roman"/>
          <w:sz w:val="24"/>
          <w:szCs w:val="24"/>
        </w:rPr>
        <w:t>, kai jie yra faktiškai atlikę ne</w:t>
      </w:r>
      <w:r>
        <w:rPr>
          <w:rFonts w:ascii="Times New Roman" w:eastAsia="TimesNewRomanPSMT" w:hAnsi="Times New Roman"/>
          <w:sz w:val="24"/>
          <w:szCs w:val="24"/>
        </w:rPr>
        <w:t xml:space="preserve"> mažiau kaip vieną treč</w:t>
      </w:r>
      <w:r w:rsidRPr="00CA681C">
        <w:rPr>
          <w:rFonts w:ascii="Times New Roman" w:eastAsia="TimesNewRomanPSMT" w:hAnsi="Times New Roman"/>
          <w:sz w:val="24"/>
          <w:szCs w:val="24"/>
        </w:rPr>
        <w:t>dalį paskirtos laisvės atėmimo ba</w:t>
      </w:r>
      <w:r>
        <w:rPr>
          <w:rFonts w:ascii="Times New Roman" w:eastAsia="TimesNewRomanPSMT" w:hAnsi="Times New Roman"/>
          <w:sz w:val="24"/>
          <w:szCs w:val="24"/>
        </w:rPr>
        <w:t>usmės, lygtinai išeiti į laisvę;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2) v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isiems nuteistiesiems be išimties, neatsižvelgiant į bausmės dydį ir laiką, </w:t>
      </w:r>
      <w:r>
        <w:rPr>
          <w:rFonts w:ascii="Times New Roman" w:eastAsia="TimesNewRomanPSMT" w:hAnsi="Times New Roman"/>
          <w:sz w:val="24"/>
          <w:szCs w:val="24"/>
        </w:rPr>
        <w:t>suteikti galimybę, atlikus pusę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 paskirtos bausmės te</w:t>
      </w:r>
      <w:r>
        <w:rPr>
          <w:rFonts w:ascii="Times New Roman" w:eastAsia="TimesNewRomanPSMT" w:hAnsi="Times New Roman"/>
          <w:sz w:val="24"/>
          <w:szCs w:val="24"/>
        </w:rPr>
        <w:t>rmino, lygtinai išeiti į laisvę;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3) a</w:t>
      </w:r>
      <w:r w:rsidRPr="00CA681C">
        <w:rPr>
          <w:rFonts w:ascii="Times New Roman" w:eastAsia="TimesNewRomanPSMT" w:hAnsi="Times New Roman"/>
          <w:sz w:val="24"/>
          <w:szCs w:val="24"/>
        </w:rPr>
        <w:t>smenims, kurie nusižengė Lietuvos Resp</w:t>
      </w:r>
      <w:r>
        <w:rPr>
          <w:rFonts w:ascii="Times New Roman" w:eastAsia="TimesNewRomanPSMT" w:hAnsi="Times New Roman"/>
          <w:sz w:val="24"/>
          <w:szCs w:val="24"/>
        </w:rPr>
        <w:t>ublikos įstatymams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 būdami įkalint</w:t>
      </w:r>
      <w:r>
        <w:rPr>
          <w:rFonts w:ascii="Times New Roman" w:eastAsia="TimesNewRomanPSMT" w:hAnsi="Times New Roman"/>
          <w:sz w:val="24"/>
          <w:szCs w:val="24"/>
        </w:rPr>
        <w:t>i pataisos namuose ar kalėjime, suteikti galimybę, atlikus tris ketvirtadalius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 bausmės term</w:t>
      </w:r>
      <w:r>
        <w:rPr>
          <w:rFonts w:ascii="Times New Roman" w:eastAsia="TimesNewRomanPSMT" w:hAnsi="Times New Roman"/>
          <w:sz w:val="24"/>
          <w:szCs w:val="24"/>
        </w:rPr>
        <w:t>ino, lygtinai išeiti į laisvę.</w:t>
      </w:r>
    </w:p>
    <w:p w:rsidR="00B46A8A" w:rsidRDefault="00B46A8A" w:rsidP="00F7198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3157">
        <w:rPr>
          <w:rFonts w:ascii="Times New Roman" w:hAnsi="Times New Roman"/>
          <w:sz w:val="24"/>
          <w:szCs w:val="24"/>
        </w:rPr>
        <w:t>Komisija priėmė sprendimą atmest</w:t>
      </w:r>
      <w:r>
        <w:rPr>
          <w:rFonts w:ascii="Times New Roman" w:hAnsi="Times New Roman"/>
          <w:sz w:val="24"/>
          <w:szCs w:val="24"/>
        </w:rPr>
        <w:t>i peticijoje pateiktą pasiūlymą, atsižvelgusi į Teisingumo ministerijos pateiktą nuomonę ir dėl šių motyvų: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Pr="00CA681C"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eastAsia="TimesNewRomanPSMT" w:hAnsi="Times New Roman"/>
          <w:sz w:val="24"/>
          <w:szCs w:val="24"/>
        </w:rPr>
        <w:t xml:space="preserve">Lietuvos Respublikos </w:t>
      </w:r>
      <w:r>
        <w:rPr>
          <w:rFonts w:ascii="Times New Roman" w:eastAsia="TimesNewRomanPSMT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ausmių vykdymo kodekse (toliau – BVK) </w:t>
      </w:r>
      <w:r w:rsidRPr="00CA681C">
        <w:rPr>
          <w:rFonts w:ascii="Times New Roman" w:hAnsi="Times New Roman"/>
          <w:sz w:val="24"/>
          <w:szCs w:val="24"/>
        </w:rPr>
        <w:t>teisinis reguliavimas, nustatantis skirtingą nuteistiesiems suteikiamų teisių ir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pareigų apimtį, bausmės atlikimo tvarką, o taip pat ir lygtinio paleidimo iš pataisos įstaigos sąlygas,</w:t>
      </w:r>
      <w:r>
        <w:rPr>
          <w:rFonts w:ascii="Times New Roman" w:hAnsi="Times New Roman"/>
          <w:sz w:val="24"/>
          <w:szCs w:val="24"/>
        </w:rPr>
        <w:t xml:space="preserve"> yra grindžiamas </w:t>
      </w:r>
      <w:r w:rsidRPr="00CA681C">
        <w:rPr>
          <w:rFonts w:ascii="Times New Roman" w:hAnsi="Times New Roman"/>
          <w:sz w:val="24"/>
          <w:szCs w:val="24"/>
        </w:rPr>
        <w:t>BVK 9 straipsnyje įtvirtintu teisingo ir progresyvaus bausmių atlikimo principu,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pagal kurį nuteistojo teisinė padėtis tiesiogiai priklauso nuo to, kaip nuteistasis elgiasi bausmės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atlikimo metu, ar vykdo nustatytus draudimus ir pareigas, koks yra jo požiūris į darbą bei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mokymąsi, kaip jis reaguoja į psichologinį poveikį ir socialinės reabilitacijos priemones.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 xml:space="preserve">Atsižvelgiant į </w:t>
      </w:r>
      <w:r w:rsidRPr="00CA681C">
        <w:rPr>
          <w:rFonts w:ascii="Times New Roman" w:hAnsi="Times New Roman"/>
          <w:sz w:val="24"/>
          <w:szCs w:val="24"/>
        </w:rPr>
        <w:lastRenderedPageBreak/>
        <w:t>tai, nuteistojo teisinė padėtis švelninama suteikiant papildomas teises, atsisakant tam</w:t>
      </w:r>
      <w:r>
        <w:rPr>
          <w:rFonts w:ascii="Times New Roman" w:hAnsi="Times New Roman"/>
          <w:sz w:val="24"/>
          <w:szCs w:val="24"/>
        </w:rPr>
        <w:t xml:space="preserve"> tikrų apribojimų</w:t>
      </w:r>
      <w:r w:rsidRPr="00CA681C">
        <w:rPr>
          <w:rFonts w:ascii="Times New Roman" w:hAnsi="Times New Roman"/>
          <w:sz w:val="24"/>
          <w:szCs w:val="24"/>
        </w:rPr>
        <w:t xml:space="preserve"> arba griežtinama, atimant tam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tikras teises, n</w:t>
      </w:r>
      <w:r>
        <w:rPr>
          <w:rFonts w:ascii="Times New Roman" w:hAnsi="Times New Roman"/>
          <w:sz w:val="24"/>
          <w:szCs w:val="24"/>
        </w:rPr>
        <w:t xml:space="preserve">ustatant papildomas pareigas, </w:t>
      </w:r>
      <w:r w:rsidRPr="00CA681C">
        <w:rPr>
          <w:rFonts w:ascii="Times New Roman" w:hAnsi="Times New Roman"/>
          <w:sz w:val="24"/>
          <w:szCs w:val="24"/>
        </w:rPr>
        <w:t>taip pat netaikant jiems lygtinio paleidimo iš pataisos</w:t>
      </w:r>
      <w:r>
        <w:rPr>
          <w:rFonts w:ascii="Times New Roman" w:hAnsi="Times New Roman"/>
          <w:sz w:val="24"/>
          <w:szCs w:val="24"/>
        </w:rPr>
        <w:t xml:space="preserve"> įstaigos.</w:t>
      </w:r>
      <w:r w:rsidRPr="00CA68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Tačiau</w:t>
      </w:r>
      <w:r w:rsidRPr="00CA681C">
        <w:rPr>
          <w:rFonts w:ascii="Times New Roman" w:hAnsi="Times New Roman"/>
          <w:sz w:val="24"/>
          <w:szCs w:val="24"/>
        </w:rPr>
        <w:t xml:space="preserve"> pareiškėjų siūlomuose BVK 157 straipsnio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pakeitimuose nuteistojo teisinės padėties sušvelninimas (lygtinio paleidimo taikymas), susietas tik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 xml:space="preserve">su nuteistojo šeimine padėtimi ir atliktos bausmės dydžiu, </w:t>
      </w:r>
      <w:r>
        <w:rPr>
          <w:rFonts w:ascii="Times New Roman" w:hAnsi="Times New Roman"/>
          <w:sz w:val="24"/>
          <w:szCs w:val="24"/>
        </w:rPr>
        <w:t>o tai</w:t>
      </w:r>
      <w:r w:rsidRPr="00CA681C">
        <w:rPr>
          <w:rFonts w:ascii="Times New Roman" w:hAnsi="Times New Roman"/>
          <w:sz w:val="24"/>
          <w:szCs w:val="24"/>
        </w:rPr>
        <w:t xml:space="preserve"> neatitinka BVK 9 straipsnyje</w:t>
      </w:r>
      <w:r>
        <w:rPr>
          <w:rFonts w:ascii="Times New Roman" w:hAnsi="Times New Roman"/>
          <w:sz w:val="24"/>
          <w:szCs w:val="24"/>
        </w:rPr>
        <w:t xml:space="preserve"> įtvirtinto principo nuostatų;</w:t>
      </w:r>
    </w:p>
    <w:p w:rsidR="00B46A8A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Pr="00CA68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Pr="00CA681C">
        <w:rPr>
          <w:rFonts w:ascii="Times New Roman" w:hAnsi="Times New Roman"/>
          <w:sz w:val="24"/>
          <w:szCs w:val="24"/>
        </w:rPr>
        <w:t>areiškėjų siūloma sąlyga dėl lygtinio paleidimo iš pataisos įstaigų taikymo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nuteistiesiems, turintiems vaikų iki septynerių metų arba du ir daugiau nepilnamečių vaikų (jei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jiems neapribota tėvų valdžia)</w:t>
      </w:r>
      <w:r>
        <w:rPr>
          <w:rFonts w:ascii="Times New Roman" w:hAnsi="Times New Roman"/>
          <w:sz w:val="24"/>
          <w:szCs w:val="24"/>
        </w:rPr>
        <w:t>,</w:t>
      </w:r>
      <w:r w:rsidRPr="00CA681C">
        <w:rPr>
          <w:rFonts w:ascii="Times New Roman" w:hAnsi="Times New Roman"/>
          <w:sz w:val="24"/>
          <w:szCs w:val="24"/>
        </w:rPr>
        <w:t xml:space="preserve"> buvo numatyta BVK 157 straipsnio, galiojusio iki 2012 m. liepos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1 d</w:t>
      </w:r>
      <w:r>
        <w:rPr>
          <w:rFonts w:ascii="Times New Roman" w:hAnsi="Times New Roman"/>
          <w:sz w:val="24"/>
          <w:szCs w:val="24"/>
        </w:rPr>
        <w:t>., redakcijoje, t</w:t>
      </w:r>
      <w:r w:rsidRPr="00CA681C">
        <w:rPr>
          <w:rFonts w:ascii="Times New Roman" w:hAnsi="Times New Roman"/>
          <w:sz w:val="24"/>
          <w:szCs w:val="24"/>
        </w:rPr>
        <w:t>ačiau šios nuostatos taikymas prakti</w:t>
      </w:r>
      <w:r>
        <w:rPr>
          <w:rFonts w:ascii="Times New Roman" w:hAnsi="Times New Roman"/>
          <w:sz w:val="24"/>
          <w:szCs w:val="24"/>
        </w:rPr>
        <w:t xml:space="preserve">koje kėlė daug abejonių. </w:t>
      </w:r>
      <w:r w:rsidRPr="00CA681C">
        <w:rPr>
          <w:rFonts w:ascii="Times New Roman" w:hAnsi="Times New Roman"/>
          <w:sz w:val="24"/>
          <w:szCs w:val="24"/>
        </w:rPr>
        <w:t>Teisės</w:t>
      </w:r>
      <w:r>
        <w:rPr>
          <w:rFonts w:ascii="Times New Roman" w:hAnsi="Times New Roman"/>
          <w:sz w:val="24"/>
          <w:szCs w:val="24"/>
        </w:rPr>
        <w:t xml:space="preserve"> instituto prie Teisingumo ministerijos nuomone,</w:t>
      </w:r>
      <w:r w:rsidRPr="00CA681C">
        <w:rPr>
          <w:rFonts w:ascii="Times New Roman" w:hAnsi="Times New Roman"/>
          <w:sz w:val="24"/>
          <w:szCs w:val="24"/>
        </w:rPr>
        <w:t xml:space="preserve"> vaikų amžius yra </w:t>
      </w:r>
      <w:r>
        <w:rPr>
          <w:rFonts w:ascii="Times New Roman" w:hAnsi="Times New Roman"/>
          <w:sz w:val="24"/>
          <w:szCs w:val="24"/>
        </w:rPr>
        <w:t>kintantis</w:t>
      </w:r>
      <w:r w:rsidRPr="00CA681C">
        <w:rPr>
          <w:rFonts w:ascii="Times New Roman" w:hAnsi="Times New Roman"/>
          <w:sz w:val="24"/>
          <w:szCs w:val="24"/>
        </w:rPr>
        <w:t xml:space="preserve"> dalykas, todėl gali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susidaryti situacija, kai atlikus 1/3 bausmės nuteistojo (nuteistosios) vaikai iki 7 metų ar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nepilnamečiais gali būti trumpą laiką. Todėl tik nuo įkalinimo įstaigos administracijos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 xml:space="preserve">geranoriškumo ir operatyvumo galėjo priklausyti, ar asmuo bus paleistas lygtinai. 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>Praktikoje taip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 xml:space="preserve">pat </w:t>
      </w:r>
      <w:r>
        <w:rPr>
          <w:rFonts w:ascii="Times New Roman" w:hAnsi="Times New Roman"/>
          <w:sz w:val="24"/>
          <w:szCs w:val="24"/>
        </w:rPr>
        <w:t xml:space="preserve">buvo </w:t>
      </w:r>
      <w:r w:rsidRPr="00CA681C">
        <w:rPr>
          <w:rFonts w:ascii="Times New Roman" w:hAnsi="Times New Roman"/>
          <w:sz w:val="24"/>
          <w:szCs w:val="24"/>
        </w:rPr>
        <w:t>pastebėti atvejai, kuomet nuteistasis, atlikdamas laisvės atėmimo bausmę, pripažino vaiko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tėvystę tik po nuosprendžio priėmimo, jau būdamas pataisos namuose, neretai, praėjus keleriems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metams po vaiko gimimo. Tokiais atvejais nuteistieji negalėdavo net paaiškinti, kodėl tiek ilgai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nepripažindavo</w:t>
      </w:r>
      <w:r>
        <w:rPr>
          <w:rFonts w:ascii="Times New Roman" w:hAnsi="Times New Roman"/>
          <w:sz w:val="24"/>
          <w:szCs w:val="24"/>
        </w:rPr>
        <w:t xml:space="preserve"> vaiko tėvystės. Taip pat nuteistieji</w:t>
      </w:r>
      <w:r w:rsidRPr="00CA68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dažnai </w:t>
      </w:r>
      <w:r w:rsidRPr="00CA681C">
        <w:rPr>
          <w:rFonts w:ascii="Times New Roman" w:hAnsi="Times New Roman"/>
          <w:sz w:val="24"/>
          <w:szCs w:val="24"/>
        </w:rPr>
        <w:t>nurodydavo</w:t>
      </w:r>
      <w:r>
        <w:rPr>
          <w:rFonts w:ascii="Times New Roman" w:hAnsi="Times New Roman"/>
          <w:sz w:val="24"/>
          <w:szCs w:val="24"/>
        </w:rPr>
        <w:t>, kad išėję</w:t>
      </w:r>
      <w:r w:rsidRPr="00CA681C">
        <w:rPr>
          <w:rFonts w:ascii="Times New Roman" w:hAnsi="Times New Roman"/>
          <w:sz w:val="24"/>
          <w:szCs w:val="24"/>
        </w:rPr>
        <w:t xml:space="preserve"> į laisvę ruošiasi gyventi ne ten, kur gyvena jo sutuoktinė su vaiku, </w:t>
      </w:r>
      <w:r>
        <w:rPr>
          <w:rFonts w:ascii="Times New Roman" w:hAnsi="Times New Roman"/>
          <w:sz w:val="24"/>
          <w:szCs w:val="24"/>
        </w:rPr>
        <w:t xml:space="preserve">jie taip pat </w:t>
      </w:r>
      <w:r w:rsidRPr="00CA681C">
        <w:rPr>
          <w:rFonts w:ascii="Times New Roman" w:hAnsi="Times New Roman"/>
          <w:sz w:val="24"/>
          <w:szCs w:val="24"/>
        </w:rPr>
        <w:t>nepalaikydavo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social</w:t>
      </w:r>
      <w:r>
        <w:rPr>
          <w:rFonts w:ascii="Times New Roman" w:hAnsi="Times New Roman"/>
          <w:sz w:val="24"/>
          <w:szCs w:val="24"/>
        </w:rPr>
        <w:t>inių ryšių su vaiku, neprisidėdavo</w:t>
      </w:r>
      <w:r w:rsidRPr="00CA681C">
        <w:rPr>
          <w:rFonts w:ascii="Times New Roman" w:hAnsi="Times New Roman"/>
          <w:sz w:val="24"/>
          <w:szCs w:val="24"/>
        </w:rPr>
        <w:t xml:space="preserve"> prie vaiko išlaikymo, nors asmeninėje sąskaitoje turėdavo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lėšų. Tai rodė, kad nuteistiesiems iš esmės rūpėjo formalus vaiko turėjimo faktas, suteikiantis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galimybę nuteistiesiems būti lygtinai paleistiems iš pataisos įstaigų, o ne vaiko išlaikymas,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 xml:space="preserve">auklėjimas, socialinių ryšių palaikymas. </w:t>
      </w:r>
      <w:r>
        <w:rPr>
          <w:rFonts w:ascii="Times New Roman" w:hAnsi="Times New Roman"/>
          <w:sz w:val="24"/>
          <w:szCs w:val="24"/>
        </w:rPr>
        <w:t>Pasitaikydavo net tokių atvejų</w:t>
      </w:r>
      <w:r w:rsidRPr="00CA681C">
        <w:rPr>
          <w:rFonts w:ascii="Times New Roman" w:hAnsi="Times New Roman"/>
          <w:sz w:val="24"/>
          <w:szCs w:val="24"/>
        </w:rPr>
        <w:t>, kuomet nuteistasis,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būd</w:t>
      </w:r>
      <w:r>
        <w:rPr>
          <w:rFonts w:ascii="Times New Roman" w:hAnsi="Times New Roman"/>
          <w:sz w:val="24"/>
          <w:szCs w:val="24"/>
        </w:rPr>
        <w:t>amas pataisos namuose, pripažindavo</w:t>
      </w:r>
      <w:r w:rsidRPr="00CA681C">
        <w:rPr>
          <w:rFonts w:ascii="Times New Roman" w:hAnsi="Times New Roman"/>
          <w:sz w:val="24"/>
          <w:szCs w:val="24"/>
        </w:rPr>
        <w:t xml:space="preserve"> vaiko tėvystę, o po lygtinio</w:t>
      </w:r>
      <w:r>
        <w:rPr>
          <w:rFonts w:ascii="Times New Roman" w:hAnsi="Times New Roman"/>
          <w:sz w:val="24"/>
          <w:szCs w:val="24"/>
        </w:rPr>
        <w:t xml:space="preserve"> paleidimo iš pataisos įstaigos – tėvystės atsisakydavo</w:t>
      </w:r>
      <w:r w:rsidRPr="00CA681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Teismų praktika taip pat parodė, kad apie pusė teikimų, kuriais buvo kreipiamasi dėl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nuteistojo lygtinio paleidimo iš pataisos įstaigos esant formaliam pagrindui (nuteistasis turi vaikų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iki septynerių metų arba du ir daugiu nepilnamečių vaikų (jei</w:t>
      </w:r>
      <w:r>
        <w:rPr>
          <w:rFonts w:ascii="Times New Roman" w:hAnsi="Times New Roman"/>
          <w:sz w:val="24"/>
          <w:szCs w:val="24"/>
        </w:rPr>
        <w:t xml:space="preserve"> jiems neparibota tėvų valdžia),</w:t>
      </w:r>
      <w:r w:rsidRPr="00CA681C">
        <w:rPr>
          <w:rFonts w:ascii="Times New Roman" w:hAnsi="Times New Roman"/>
          <w:sz w:val="24"/>
          <w:szCs w:val="24"/>
        </w:rPr>
        <w:t xml:space="preserve"> buvo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dažniausiai netenkinami, nes nuteistieji nevykdė tėvystės pareigų. Tačiau buvo ir tokių atvejų,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kuomet teismas lygtinai paleisdavo nuteistąjį iš pataisos įstaigos remdamasis tik formaliu pagrindu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CA681C">
        <w:rPr>
          <w:rFonts w:ascii="Times New Roman" w:hAnsi="Times New Roman"/>
          <w:sz w:val="24"/>
          <w:szCs w:val="24"/>
        </w:rPr>
        <w:t xml:space="preserve"> va</w:t>
      </w:r>
      <w:r>
        <w:rPr>
          <w:rFonts w:ascii="Times New Roman" w:hAnsi="Times New Roman"/>
          <w:sz w:val="24"/>
          <w:szCs w:val="24"/>
        </w:rPr>
        <w:t>iko turėjimu, o ne atsižvelgdamas</w:t>
      </w:r>
      <w:r w:rsidRPr="00CA681C">
        <w:rPr>
          <w:rFonts w:ascii="Times New Roman" w:hAnsi="Times New Roman"/>
          <w:sz w:val="24"/>
          <w:szCs w:val="24"/>
        </w:rPr>
        <w:t xml:space="preserve"> į vaiko interesus. Be to, teismams pradėjus vertinti tėvų pareigų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vykdymą, nuteistieji taip pat keitė savo elgesį. Tačiau šie pasikeitimai buvo nukreipti ne į vaiko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 xml:space="preserve">interesus, o šalinti kliūtis, </w:t>
      </w:r>
      <w:r w:rsidRPr="00CA681C">
        <w:rPr>
          <w:rFonts w:ascii="Times New Roman" w:hAnsi="Times New Roman"/>
          <w:sz w:val="24"/>
          <w:szCs w:val="24"/>
        </w:rPr>
        <w:lastRenderedPageBreak/>
        <w:t>lėmusias lygtino paleidim</w:t>
      </w:r>
      <w:r>
        <w:rPr>
          <w:rFonts w:ascii="Times New Roman" w:hAnsi="Times New Roman"/>
          <w:sz w:val="24"/>
          <w:szCs w:val="24"/>
        </w:rPr>
        <w:t>o iš pataisos įstaigų netaikymą:</w:t>
      </w:r>
      <w:r w:rsidRPr="00CA68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</w:t>
      </w:r>
      <w:r w:rsidRPr="00CA681C">
        <w:rPr>
          <w:rFonts w:ascii="Times New Roman" w:hAnsi="Times New Roman"/>
          <w:sz w:val="24"/>
          <w:szCs w:val="24"/>
        </w:rPr>
        <w:t>ikus</w:t>
      </w:r>
      <w:r>
        <w:rPr>
          <w:rFonts w:ascii="Times New Roman" w:hAnsi="Times New Roman"/>
          <w:sz w:val="24"/>
          <w:szCs w:val="24"/>
        </w:rPr>
        <w:t xml:space="preserve"> keliems mėnesiams</w:t>
      </w:r>
      <w:r w:rsidRPr="00CA681C">
        <w:rPr>
          <w:rFonts w:ascii="Times New Roman" w:hAnsi="Times New Roman"/>
          <w:sz w:val="24"/>
          <w:szCs w:val="24"/>
        </w:rPr>
        <w:t xml:space="preserve"> iki galimo lygtino paleidimo iš pataisos įstaigos nuteistieji pervesdavo nedidelę dalį</w:t>
      </w:r>
      <w:r>
        <w:rPr>
          <w:rFonts w:ascii="Times New Roman" w:hAnsi="Times New Roman"/>
          <w:sz w:val="24"/>
          <w:szCs w:val="24"/>
        </w:rPr>
        <w:t xml:space="preserve"> pinigų vaiko išlaikymui, bandydavo</w:t>
      </w:r>
      <w:r w:rsidRPr="00CA681C">
        <w:rPr>
          <w:rFonts w:ascii="Times New Roman" w:hAnsi="Times New Roman"/>
          <w:sz w:val="24"/>
          <w:szCs w:val="24"/>
        </w:rPr>
        <w:t xml:space="preserve"> užmegzti ryšius su vaiku</w:t>
      </w:r>
      <w:r>
        <w:rPr>
          <w:rFonts w:ascii="Times New Roman" w:hAnsi="Times New Roman"/>
          <w:sz w:val="24"/>
          <w:szCs w:val="24"/>
        </w:rPr>
        <w:t>, t</w:t>
      </w:r>
      <w:r w:rsidRPr="00CA681C">
        <w:rPr>
          <w:rFonts w:ascii="Times New Roman" w:hAnsi="Times New Roman"/>
          <w:sz w:val="24"/>
          <w:szCs w:val="24"/>
        </w:rPr>
        <w:t>ačiau po lygtinio paleidimo iš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pataisos įstaigos visi santykiai su vaikais vėl būdavo nutraukiami. Ypatingai tai buvo pastebima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tarp asmenų, nuteistų už sunkius ir labai sunkius nusikaltimus, kurių bausmės trukmė buvo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pakankamai ilga. Tai rodė, kad nuteistieji manipuliavo vaikų interesais siekdami asmeninės naudos.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>Pažymėtina ir tai, kad užsienio valstybių praktikoje lygtinis paleidimas siejamas su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asmens rizika dėl naujos nusikalstamos veikos padarymo, elgesiu bausmės atlikimo metu,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nusikalstamos veikos sunkumu ar atlikta tam tikra laisvės atėmimo bausmės dalimi. Nuteistojo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šeiminė padėtis nėra tas kriterijus, kuriuo remiantis būtų sprendžiamas klausimas dėl lygtinio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paleidimo iš pataisos įstaigos. Sis kriterijus panaudojamas tik asmens nusikalstamo elgesio rizikos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 xml:space="preserve">vertinimui, bet ir šiuo atveju </w:t>
      </w:r>
      <w:r>
        <w:rPr>
          <w:rFonts w:ascii="Times New Roman" w:hAnsi="Times New Roman"/>
          <w:sz w:val="24"/>
          <w:szCs w:val="24"/>
        </w:rPr>
        <w:t>–</w:t>
      </w:r>
      <w:r w:rsidRPr="00CA681C">
        <w:rPr>
          <w:rFonts w:ascii="Times New Roman" w:hAnsi="Times New Roman"/>
          <w:sz w:val="24"/>
          <w:szCs w:val="24"/>
        </w:rPr>
        <w:t xml:space="preserve"> tik kaip papildomas vertinamasis aspektas. Analogiškas vertinimas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yra atliekamas ir šiuo metu Lietuvoje, sprendžiant klausimą dėl lygtinio paleidimo iš pataisos</w:t>
      </w:r>
      <w:r>
        <w:rPr>
          <w:rFonts w:ascii="Times New Roman" w:hAnsi="Times New Roman"/>
          <w:sz w:val="24"/>
          <w:szCs w:val="24"/>
        </w:rPr>
        <w:t xml:space="preserve"> įstaigos taikymo nuteistajam;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Pr="00CA681C">
        <w:rPr>
          <w:rFonts w:ascii="Times New Roman" w:hAnsi="Times New Roman"/>
          <w:sz w:val="24"/>
          <w:szCs w:val="24"/>
        </w:rPr>
        <w:t xml:space="preserve"> BVK 157 straipsnio 3 dalyje nustatyta, kad nuteistieji gali būti lygtinai paleisti pataisos įstaigų faktiškai atlikę šią minimalią paskirtos laisvės atėmimo bausmės dalį: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 xml:space="preserve">1) vieną trečdalį paskirtos laisvės atėmimo bausmės, bet ne mažiau kaip 4 mėnesius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CA681C">
        <w:rPr>
          <w:rFonts w:ascii="Times New Roman" w:hAnsi="Times New Roman"/>
          <w:sz w:val="24"/>
          <w:szCs w:val="24"/>
        </w:rPr>
        <w:t>nuteistieji už dėl neatsargumo padarytus nusikaltimus, kuriems paskirta bausmė neviršija šešerių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metų, kiti nuteistieji, kuriems paskirta bausmė neviršija trejų metų laisvės atėmimo, taip pat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nepilnamečiai;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 xml:space="preserve">2) pusę paskirtos laisvės atėmimo bausmės </w:t>
      </w:r>
      <w:r>
        <w:rPr>
          <w:rFonts w:ascii="Times New Roman" w:hAnsi="Times New Roman"/>
          <w:sz w:val="24"/>
          <w:szCs w:val="24"/>
        </w:rPr>
        <w:t>–</w:t>
      </w:r>
      <w:r w:rsidRPr="00CA681C">
        <w:rPr>
          <w:rFonts w:ascii="Times New Roman" w:hAnsi="Times New Roman"/>
          <w:sz w:val="24"/>
          <w:szCs w:val="24"/>
        </w:rPr>
        <w:t xml:space="preserve"> nuteistieji už dėl neatsargumo padarytus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nusikaltimus, kuriems paskirta bausmė viršija šešerius metus, taip pat kiti nuteistieji, kuriems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paskirta bausmė viršija trejus metus laisvės atėmimo, bet neviršija dešimties metų laisvės atėmimo;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 xml:space="preserve">3) du trečdalius paskirtos laisvės atėmimo bausmės </w:t>
      </w:r>
      <w:r>
        <w:rPr>
          <w:rFonts w:ascii="Times New Roman" w:hAnsi="Times New Roman"/>
          <w:sz w:val="24"/>
          <w:szCs w:val="24"/>
        </w:rPr>
        <w:t>–</w:t>
      </w:r>
      <w:r w:rsidRPr="00CA681C">
        <w:rPr>
          <w:rFonts w:ascii="Times New Roman" w:hAnsi="Times New Roman"/>
          <w:sz w:val="24"/>
          <w:szCs w:val="24"/>
        </w:rPr>
        <w:t xml:space="preserve"> nuteistieji, kuriems paskirta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bausmė viršija dešimt metų laisvės atėmimo, bet neviršija penkiolikos metų laisvės atėmimo;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 xml:space="preserve">4) tris ketvirtadalius paskirtos laisvės atėmimo bausmės </w:t>
      </w:r>
      <w:r>
        <w:rPr>
          <w:rFonts w:ascii="Times New Roman" w:hAnsi="Times New Roman"/>
          <w:sz w:val="24"/>
          <w:szCs w:val="24"/>
        </w:rPr>
        <w:t>–</w:t>
      </w:r>
      <w:r w:rsidRPr="00CA681C">
        <w:rPr>
          <w:rFonts w:ascii="Times New Roman" w:hAnsi="Times New Roman"/>
          <w:sz w:val="24"/>
          <w:szCs w:val="24"/>
        </w:rPr>
        <w:t xml:space="preserve"> nuteistieji, kuriems paskirta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bausmė viršija penkiolika metų laisvės atėmimo, bet neviršija dvidešimt penkerių metų laisvės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atėmimo.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>BVK 158 straipsnyje papildomai nustatyta, kad lygtinai iš pataisos įstaigų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nepaleidžiami: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>1) asmenys, nuteisti už nusikaltimus Lietuvos valstybės nepriklausomybei, teritorijos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vientisumui ir konstitucinei santvarkai;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lastRenderedPageBreak/>
        <w:t>2) asmenys, nuteisti už nusikaltimus nepilnamečio asmens seksualinio apsisprendimo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laisvei ir (ar) neliečiamumui;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>3) asmenys, kuriems mirties bausmė malonės arba amnestijos tvarka pakeista laisvės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atėmimu iki gyvos galvos, taip pat laisvės atėmimu iki gyvos galvos nuteisti asmenys;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>4) asmenys, nuteisti už tyčinius nusikaltimus, padarytus areštinėse, pataisos įstaigose ir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kardomojo kalinimo vietose; mėnesiai.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>Atkreiptinas dėmesys, kad BVK 157 straipsnio 3 dalyje nustatyti skirtingi atliktinos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bau</w:t>
      </w:r>
      <w:r>
        <w:rPr>
          <w:rFonts w:ascii="Times New Roman" w:hAnsi="Times New Roman"/>
          <w:sz w:val="24"/>
          <w:szCs w:val="24"/>
        </w:rPr>
        <w:t xml:space="preserve">smės dydžiai, </w:t>
      </w:r>
      <w:r w:rsidRPr="00CA681C">
        <w:rPr>
          <w:rFonts w:ascii="Times New Roman" w:hAnsi="Times New Roman"/>
          <w:sz w:val="24"/>
          <w:szCs w:val="24"/>
        </w:rPr>
        <w:t>o tai</w:t>
      </w:r>
      <w:r>
        <w:rPr>
          <w:rFonts w:ascii="Times New Roman" w:hAnsi="Times New Roman"/>
          <w:sz w:val="24"/>
          <w:szCs w:val="24"/>
        </w:rPr>
        <w:t>p</w:t>
      </w:r>
      <w:r w:rsidRPr="00CA681C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 xml:space="preserve">at BVK 158 straipsnio nuostatos </w:t>
      </w:r>
      <w:r w:rsidRPr="00CA681C">
        <w:rPr>
          <w:rFonts w:ascii="Times New Roman" w:hAnsi="Times New Roman"/>
          <w:sz w:val="24"/>
          <w:szCs w:val="24"/>
        </w:rPr>
        <w:t>turi prevencinę paskirtį. Šiomis nuostatomis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siekiama bendrosios, ypač sunkių ir labai sunkių nusikaltimų, o taip pat jų recidyvo prevencijos,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informuojant, įspėjant ir bauginant asmenis, o taip pat ir nuteistuosius, kad jie nedarytų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nusikalstamų veikų. Jei būtų pritarta pareiškėjų siūlymui dėl BVK 157 straipsnio pakeitimo, kad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taikant lygtinį paleidimą iš pataisos įstaigos būtų neatsižvelgiama į bausmės dydį, o taip pat lygtinis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paleidimas būtų taikomas asmenims, padariusiems nusikaltimus laisvės atėmimo vietose, ši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prevencinė reikšmė mažėtų. Tai neskatintų nuteistųjų bausmės atlikimo metu dorai elgtis, laikytis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nustatytų pareigų ir draudimų, stropiai dirbti ir mokytis, dalyvauti socialinėje reabilitacijoje ir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nedaryti nusikalstamų veikų.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81C">
        <w:rPr>
          <w:rFonts w:ascii="Times New Roman" w:hAnsi="Times New Roman"/>
          <w:sz w:val="24"/>
          <w:szCs w:val="24"/>
        </w:rPr>
        <w:t>Pažymėtina ir tai, kad, sprendžiant klausimą dėl lygtinio paleidimo iš pataisos įstaigos,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vieni iš vertinamųjų kriterijų yra nuteistojo nusikalstamo elgesio rizika bei elgesys bausmės</w:t>
      </w:r>
      <w:r>
        <w:rPr>
          <w:rFonts w:ascii="Times New Roman" w:hAnsi="Times New Roman"/>
          <w:sz w:val="24"/>
          <w:szCs w:val="24"/>
        </w:rPr>
        <w:t xml:space="preserve"> atlikimo metu. </w:t>
      </w:r>
      <w:r w:rsidRPr="00CA681C">
        <w:rPr>
          <w:rFonts w:ascii="Times New Roman" w:hAnsi="Times New Roman"/>
          <w:sz w:val="24"/>
          <w:szCs w:val="24"/>
        </w:rPr>
        <w:t>Jei nuteistasis arešto ar laisvės atėmimo bausmės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atlikimo metu padaro tyčinį nusikaltimą, padidėja jo rizika, kad ir išėjęs iš pataisos įstaigos asmuo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darys nusikalstamas veikas. Kartu tai parodo jo negatyvų požiūrį resocializaciją, vykdomą laisvės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atėmimo vietoje. Todėl abejotina, kad lygtinio paleidimo iš pataisos įstaigos institutas bus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 xml:space="preserve">pritaikytas tokiems nuteistiesiems, </w:t>
      </w:r>
      <w:r>
        <w:rPr>
          <w:rFonts w:ascii="Times New Roman" w:hAnsi="Times New Roman"/>
          <w:sz w:val="24"/>
          <w:szCs w:val="24"/>
        </w:rPr>
        <w:t>net ir nustačius tokią galimybę;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Pr="00CA681C">
        <w:rPr>
          <w:rFonts w:ascii="Times New Roman" w:hAnsi="Times New Roman"/>
          <w:sz w:val="24"/>
          <w:szCs w:val="24"/>
        </w:rPr>
        <w:t xml:space="preserve"> abejotina, ar patys nuteistieji yra pasirengę ankstesniam išleidimui į pagal pareiškėjų pateiktus siūlymus. </w:t>
      </w:r>
      <w:r>
        <w:rPr>
          <w:rFonts w:ascii="Times New Roman" w:hAnsi="Times New Roman"/>
          <w:sz w:val="24"/>
          <w:szCs w:val="24"/>
        </w:rPr>
        <w:t>Statistika rodo, kad</w:t>
      </w:r>
      <w:r w:rsidRPr="00CA681C">
        <w:rPr>
          <w:rFonts w:ascii="Times New Roman" w:hAnsi="Times New Roman"/>
          <w:sz w:val="24"/>
          <w:szCs w:val="24"/>
        </w:rPr>
        <w:t xml:space="preserve"> pataisos įstaigose lengvojoje grupėje, į kurią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perkeliami tik nepriekaištingai besielgiantys, aktyviai dalyvaujantys socialinės reabilitacijos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priemonėse, stropiai dirbantys ir besimokantys nuteistieji</w:t>
      </w:r>
      <w:r>
        <w:rPr>
          <w:rFonts w:ascii="Times New Roman" w:hAnsi="Times New Roman"/>
          <w:sz w:val="24"/>
          <w:szCs w:val="24"/>
        </w:rPr>
        <w:t>,</w:t>
      </w:r>
      <w:r w:rsidRPr="00CA68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2009–</w:t>
      </w:r>
      <w:r w:rsidRPr="00CA681C">
        <w:rPr>
          <w:rFonts w:ascii="Times New Roman" w:hAnsi="Times New Roman"/>
          <w:sz w:val="24"/>
          <w:szCs w:val="24"/>
        </w:rPr>
        <w:t>2013 m. bausmę atliko vidutiniškai apie 56</w:t>
      </w:r>
      <w:r>
        <w:rPr>
          <w:rFonts w:ascii="Times New Roman" w:hAnsi="Times New Roman"/>
          <w:sz w:val="24"/>
          <w:szCs w:val="24"/>
        </w:rPr>
        <w:t>0 nuteistųjų. Tai sudaro 8 procentus</w:t>
      </w:r>
      <w:r w:rsidRPr="00CA681C">
        <w:rPr>
          <w:rFonts w:ascii="Times New Roman" w:hAnsi="Times New Roman"/>
          <w:sz w:val="24"/>
          <w:szCs w:val="24"/>
        </w:rPr>
        <w:t xml:space="preserve"> nuo visų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bausmę a</w:t>
      </w:r>
      <w:r>
        <w:rPr>
          <w:rFonts w:ascii="Times New Roman" w:hAnsi="Times New Roman"/>
          <w:sz w:val="24"/>
          <w:szCs w:val="24"/>
        </w:rPr>
        <w:t xml:space="preserve">tliekančių nuteistųjų skaičiaus. </w:t>
      </w:r>
      <w:r w:rsidRPr="00CA681C">
        <w:rPr>
          <w:rFonts w:ascii="Times New Roman" w:hAnsi="Times New Roman"/>
          <w:sz w:val="24"/>
          <w:szCs w:val="24"/>
        </w:rPr>
        <w:t>Kad nuteistieji dar nėra pakankamai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 xml:space="preserve">pasiruošę gyvenimui laisvėje teisėtais būdais ir priemonėmis, </w:t>
      </w:r>
      <w:r>
        <w:rPr>
          <w:rFonts w:ascii="Times New Roman" w:hAnsi="Times New Roman"/>
          <w:sz w:val="24"/>
          <w:szCs w:val="24"/>
        </w:rPr>
        <w:t>rodo ir tai,</w:t>
      </w:r>
      <w:r w:rsidRPr="00CA681C">
        <w:rPr>
          <w:rFonts w:ascii="Times New Roman" w:hAnsi="Times New Roman"/>
          <w:sz w:val="24"/>
          <w:szCs w:val="24"/>
        </w:rPr>
        <w:t xml:space="preserve"> jog laisvės atėmimo</w:t>
      </w:r>
      <w:r>
        <w:rPr>
          <w:rFonts w:ascii="Times New Roman" w:hAnsi="Times New Roman"/>
          <w:sz w:val="24"/>
          <w:szCs w:val="24"/>
        </w:rPr>
        <w:t xml:space="preserve"> vietose kasmet padaroma 22–</w:t>
      </w:r>
      <w:r w:rsidRPr="00CA681C">
        <w:rPr>
          <w:rFonts w:ascii="Times New Roman" w:hAnsi="Times New Roman"/>
          <w:sz w:val="24"/>
          <w:szCs w:val="24"/>
        </w:rPr>
        <w:t xml:space="preserve">25 </w:t>
      </w:r>
      <w:r>
        <w:rPr>
          <w:rFonts w:ascii="Times New Roman" w:hAnsi="Times New Roman"/>
          <w:sz w:val="24"/>
          <w:szCs w:val="24"/>
        </w:rPr>
        <w:t>tūkst. vidaus tvarkos nusižengimų</w:t>
      </w:r>
      <w:r w:rsidRPr="00CA681C">
        <w:rPr>
          <w:rFonts w:ascii="Times New Roman" w:hAnsi="Times New Roman"/>
          <w:sz w:val="24"/>
          <w:szCs w:val="24"/>
        </w:rPr>
        <w:t>, drausminėn atsakomybėn</w:t>
      </w:r>
      <w:r>
        <w:rPr>
          <w:rFonts w:ascii="Times New Roman" w:hAnsi="Times New Roman"/>
          <w:sz w:val="24"/>
          <w:szCs w:val="24"/>
        </w:rPr>
        <w:t xml:space="preserve"> patraukiami 5,2–6,8 tūkst. asmenų, laikomų</w:t>
      </w:r>
      <w:r w:rsidRPr="00CA681C">
        <w:rPr>
          <w:rFonts w:ascii="Times New Roman" w:hAnsi="Times New Roman"/>
          <w:sz w:val="24"/>
          <w:szCs w:val="24"/>
        </w:rPr>
        <w:t xml:space="preserve"> laisvė</w:t>
      </w:r>
      <w:r>
        <w:rPr>
          <w:rFonts w:ascii="Times New Roman" w:hAnsi="Times New Roman"/>
          <w:sz w:val="24"/>
          <w:szCs w:val="24"/>
        </w:rPr>
        <w:t>s atėmimo vietose.</w:t>
      </w:r>
    </w:p>
    <w:p w:rsidR="00B46A8A" w:rsidRPr="00CA681C" w:rsidRDefault="00B46A8A" w:rsidP="00F71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Pažymėtina ir tai, </w:t>
      </w:r>
      <w:r w:rsidRPr="00CA681C">
        <w:rPr>
          <w:rFonts w:ascii="Times New Roman" w:hAnsi="Times New Roman"/>
          <w:sz w:val="24"/>
          <w:szCs w:val="24"/>
        </w:rPr>
        <w:t>kad, priešingai, nei teigia pareiškėjai, laisvės atėmimo vietose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t>laikomų nuteistųjų skaičius mažėja: 2012 m. liepos 1 d. laisvės atėmimo vietose buvo 8754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81C">
        <w:rPr>
          <w:rFonts w:ascii="Times New Roman" w:hAnsi="Times New Roman"/>
          <w:sz w:val="24"/>
          <w:szCs w:val="24"/>
        </w:rPr>
        <w:lastRenderedPageBreak/>
        <w:t xml:space="preserve">nuteistieji, 2013 m. sausio 1 d. </w:t>
      </w:r>
      <w:r>
        <w:rPr>
          <w:rFonts w:ascii="Times New Roman" w:hAnsi="Times New Roman"/>
          <w:sz w:val="24"/>
          <w:szCs w:val="24"/>
        </w:rPr>
        <w:t>–</w:t>
      </w:r>
      <w:r w:rsidRPr="00CA681C">
        <w:rPr>
          <w:rFonts w:ascii="Times New Roman" w:hAnsi="Times New Roman"/>
          <w:sz w:val="24"/>
          <w:szCs w:val="24"/>
        </w:rPr>
        <w:t xml:space="preserve"> 8550, 2013 m. liepos 1 d. </w:t>
      </w:r>
      <w:r>
        <w:rPr>
          <w:rFonts w:ascii="Times New Roman" w:hAnsi="Times New Roman"/>
          <w:sz w:val="24"/>
          <w:szCs w:val="24"/>
        </w:rPr>
        <w:t>–</w:t>
      </w:r>
      <w:r w:rsidRPr="00CA681C">
        <w:rPr>
          <w:rFonts w:ascii="Times New Roman" w:hAnsi="Times New Roman"/>
          <w:sz w:val="24"/>
          <w:szCs w:val="24"/>
        </w:rPr>
        <w:t xml:space="preserve"> 8519, 2013 m. gruodžio 1 d. </w:t>
      </w:r>
      <w:r>
        <w:rPr>
          <w:rFonts w:ascii="Times New Roman" w:hAnsi="Times New Roman"/>
          <w:sz w:val="24"/>
          <w:szCs w:val="24"/>
        </w:rPr>
        <w:t>–</w:t>
      </w:r>
      <w:r w:rsidRPr="00CA681C">
        <w:rPr>
          <w:rFonts w:ascii="Times New Roman" w:hAnsi="Times New Roman"/>
          <w:sz w:val="24"/>
          <w:szCs w:val="24"/>
        </w:rPr>
        <w:t>8179.</w:t>
      </w:r>
    </w:p>
    <w:p w:rsidR="00636B02" w:rsidRDefault="00087E84" w:rsidP="00F719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Antruoju klausimu buvo priimtas sprendimas</w:t>
      </w:r>
      <w:r w:rsidR="00636B02" w:rsidRPr="00636B02">
        <w:rPr>
          <w:rFonts w:ascii="Times New Roman" w:hAnsi="Times New Roman"/>
          <w:sz w:val="24"/>
          <w:szCs w:val="24"/>
        </w:rPr>
        <w:t xml:space="preserve"> </w:t>
      </w:r>
      <w:r w:rsidR="00636B02">
        <w:rPr>
          <w:rFonts w:ascii="Times New Roman" w:hAnsi="Times New Roman"/>
          <w:sz w:val="24"/>
          <w:szCs w:val="24"/>
        </w:rPr>
        <w:t>a</w:t>
      </w:r>
      <w:r w:rsidR="00636B02" w:rsidRPr="00141B22">
        <w:rPr>
          <w:rFonts w:ascii="Times New Roman" w:hAnsi="Times New Roman"/>
          <w:sz w:val="24"/>
          <w:szCs w:val="24"/>
        </w:rPr>
        <w:t xml:space="preserve">tmesti Kęstučio </w:t>
      </w:r>
      <w:proofErr w:type="spellStart"/>
      <w:r w:rsidR="00636B02" w:rsidRPr="00141B22">
        <w:rPr>
          <w:rFonts w:ascii="Times New Roman" w:hAnsi="Times New Roman"/>
          <w:sz w:val="24"/>
          <w:szCs w:val="24"/>
        </w:rPr>
        <w:t>Vilkausko</w:t>
      </w:r>
      <w:proofErr w:type="spellEnd"/>
      <w:r w:rsidR="00636B02" w:rsidRPr="00141B22">
        <w:rPr>
          <w:rFonts w:ascii="Times New Roman" w:hAnsi="Times New Roman"/>
          <w:sz w:val="24"/>
          <w:szCs w:val="24"/>
        </w:rPr>
        <w:t xml:space="preserve"> peticijoje</w:t>
      </w:r>
      <w:r w:rsidR="00636B02" w:rsidRPr="00141B22">
        <w:rPr>
          <w:rFonts w:ascii="Times New Roman" w:hAnsi="Times New Roman"/>
          <w:bCs/>
          <w:sz w:val="24"/>
          <w:szCs w:val="24"/>
        </w:rPr>
        <w:t xml:space="preserve"> </w:t>
      </w:r>
      <w:r w:rsidR="00636B02" w:rsidRPr="00141B22">
        <w:rPr>
          <w:rFonts w:ascii="Times New Roman" w:hAnsi="Times New Roman"/>
          <w:sz w:val="24"/>
          <w:szCs w:val="24"/>
        </w:rPr>
        <w:t xml:space="preserve">„Dėl Lietuvos Respublikos bausmių vykdymo kodekso ketvirtojo skirsnio bei 147, 148, 154, 155, 156 straipsnių pakeitimo“ pateiktą pasiūlymą </w:t>
      </w:r>
      <w:r w:rsidR="00636B02" w:rsidRPr="00141B22"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pakeisti </w:t>
      </w:r>
      <w:r w:rsidR="00636B02"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>Lietuvos Respublikos b</w:t>
      </w:r>
      <w:r w:rsidR="00636B02" w:rsidRPr="00141B22"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ausmių vykdymo kodekso </w:t>
      </w:r>
      <w:r w:rsidR="00636B02" w:rsidRPr="00141B22">
        <w:rPr>
          <w:rFonts w:ascii="Times New Roman" w:hAnsi="Times New Roman"/>
          <w:sz w:val="24"/>
          <w:szCs w:val="24"/>
        </w:rPr>
        <w:t>147, 148, 154, 155, 156 straipsnius, nustatant, kad pataisos įstaigos administracija organizuotų nuteistųjų aukštąjį mokslą.</w:t>
      </w:r>
    </w:p>
    <w:p w:rsidR="00207F32" w:rsidRDefault="00207F32" w:rsidP="00F719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3157">
        <w:rPr>
          <w:rFonts w:ascii="Times New Roman" w:hAnsi="Times New Roman"/>
          <w:sz w:val="24"/>
          <w:szCs w:val="24"/>
        </w:rPr>
        <w:t>Komisija priėmė sprendimą atmest</w:t>
      </w:r>
      <w:r>
        <w:rPr>
          <w:rFonts w:ascii="Times New Roman" w:hAnsi="Times New Roman"/>
          <w:sz w:val="24"/>
          <w:szCs w:val="24"/>
        </w:rPr>
        <w:t xml:space="preserve">i peticijoje pateiktą pasiūlymą, atsižvelgusi į </w:t>
      </w:r>
      <w:r w:rsidR="00F7198B">
        <w:rPr>
          <w:rFonts w:ascii="Times New Roman" w:hAnsi="Times New Roman"/>
          <w:sz w:val="24"/>
          <w:szCs w:val="24"/>
        </w:rPr>
        <w:t>Teisingumo</w:t>
      </w:r>
      <w:r>
        <w:rPr>
          <w:rFonts w:ascii="Times New Roman" w:hAnsi="Times New Roman"/>
          <w:sz w:val="24"/>
          <w:szCs w:val="24"/>
        </w:rPr>
        <w:t xml:space="preserve"> ministerijos pateiktą nuomonę ir dėl šių motyvų:</w:t>
      </w:r>
    </w:p>
    <w:p w:rsidR="00207F32" w:rsidRPr="00FB3CAC" w:rsidRDefault="00207F32" w:rsidP="00F719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Pr="00FB3CAC">
        <w:rPr>
          <w:rFonts w:ascii="Times New Roman" w:hAnsi="Times New Roman"/>
          <w:sz w:val="24"/>
          <w:szCs w:val="24"/>
        </w:rPr>
        <w:t xml:space="preserve"> pagal šiuo metu galiojančias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>BVK</w:t>
      </w:r>
      <w:r w:rsidRPr="00141B22"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47 ir 148 straipsnių redakcijas </w:t>
      </w:r>
      <w:r w:rsidRPr="00FB3CAC">
        <w:rPr>
          <w:rFonts w:ascii="Times New Roman" w:hAnsi="Times New Roman"/>
          <w:sz w:val="24"/>
          <w:szCs w:val="24"/>
        </w:rPr>
        <w:t>tiek nuteistųjų bendrasis ugdymas, tiek ir profesinis mokymas organizuojamas pataisos įstaigose (ar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valstybės įmonėse prie pataisos įstaigų) veikiančiose bendrojo ugdymo ar profesinio mokymo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įstaigose ar jų struktūriniuose padaliniuose, t.y.</w:t>
      </w:r>
      <w:r w:rsidR="000D6089">
        <w:rPr>
          <w:rFonts w:ascii="Times New Roman" w:hAnsi="Times New Roman"/>
          <w:sz w:val="24"/>
          <w:szCs w:val="24"/>
        </w:rPr>
        <w:t>,</w:t>
      </w:r>
      <w:r w:rsidRPr="00FB3CAC">
        <w:rPr>
          <w:rFonts w:ascii="Times New Roman" w:hAnsi="Times New Roman"/>
          <w:sz w:val="24"/>
          <w:szCs w:val="24"/>
        </w:rPr>
        <w:t xml:space="preserve"> mokymo procesas vyksta pataisos įstaigų (ar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valstybės įmonių prie pataisos įstaigų) teritorijoje, atitinkamai užtikrinant nuteistųjų apsaugą ir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priežiūrą. 2013 m. Alytaus kolegija pagal sudarytą bendradarbiavimo sutartį su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Alytaus pataisos namais kvietė bausmę atliekančius nuteistuosius studijuoti pagal Verslo vadybos bei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 xml:space="preserve">Transporto ir logistikos verslo programas, taip pat išklausyti apskaitininko, </w:t>
      </w:r>
      <w:proofErr w:type="spellStart"/>
      <w:r w:rsidRPr="00FB3CAC">
        <w:rPr>
          <w:rFonts w:ascii="Times New Roman" w:hAnsi="Times New Roman"/>
          <w:sz w:val="24"/>
          <w:szCs w:val="24"/>
        </w:rPr>
        <w:t>logisto</w:t>
      </w:r>
      <w:proofErr w:type="spellEnd"/>
      <w:r w:rsidRPr="00FB3CAC">
        <w:rPr>
          <w:rFonts w:ascii="Times New Roman" w:hAnsi="Times New Roman"/>
          <w:sz w:val="24"/>
          <w:szCs w:val="24"/>
        </w:rPr>
        <w:t>, skaitmeninių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technologijų (internetinių tinklapių dizainerio) mokymo programų kursus, tačiau norinčių nuteistųjų tai daryti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neatsirado. Todėl abejotina, ar, pritarus pareiškėjo siūlomiems BVK pakeitimams, šios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nuostatos būtų realiai įgyvendinamos praktikoje</w:t>
      </w:r>
      <w:r>
        <w:rPr>
          <w:rFonts w:ascii="Times New Roman" w:hAnsi="Times New Roman"/>
          <w:sz w:val="24"/>
          <w:szCs w:val="24"/>
        </w:rPr>
        <w:t>;</w:t>
      </w:r>
    </w:p>
    <w:p w:rsidR="00207F32" w:rsidRDefault="00207F32" w:rsidP="00F719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Pr="00FB3CAC">
        <w:rPr>
          <w:rFonts w:ascii="Times New Roman" w:hAnsi="Times New Roman"/>
          <w:sz w:val="24"/>
          <w:szCs w:val="24"/>
        </w:rPr>
        <w:t>nuteistasis ir šiuo</w:t>
      </w:r>
      <w:r>
        <w:rPr>
          <w:rFonts w:ascii="Times New Roman" w:hAnsi="Times New Roman"/>
          <w:sz w:val="24"/>
          <w:szCs w:val="24"/>
        </w:rPr>
        <w:t xml:space="preserve"> metu </w:t>
      </w:r>
      <w:r w:rsidRPr="00FB3CAC">
        <w:rPr>
          <w:rFonts w:ascii="Times New Roman" w:hAnsi="Times New Roman"/>
          <w:sz w:val="24"/>
          <w:szCs w:val="24"/>
        </w:rPr>
        <w:t>turi teisę bausmės atlikimo laikotarpiu trumpesniam ar ilgesniam laikui išvykti iš pataisos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į</w:t>
      </w:r>
      <w:r>
        <w:rPr>
          <w:rFonts w:ascii="Times New Roman" w:hAnsi="Times New Roman"/>
          <w:sz w:val="24"/>
          <w:szCs w:val="24"/>
        </w:rPr>
        <w:t>staigos, todėl</w:t>
      </w:r>
      <w:r w:rsidRPr="00FB3CAC">
        <w:rPr>
          <w:rFonts w:ascii="Times New Roman" w:hAnsi="Times New Roman"/>
          <w:sz w:val="24"/>
          <w:szCs w:val="24"/>
        </w:rPr>
        <w:t xml:space="preserve">, esant poreikiui, minėtas išvykas </w:t>
      </w:r>
      <w:r>
        <w:rPr>
          <w:rFonts w:ascii="Times New Roman" w:hAnsi="Times New Roman"/>
          <w:sz w:val="24"/>
          <w:szCs w:val="24"/>
        </w:rPr>
        <w:t xml:space="preserve">jis gali </w:t>
      </w:r>
      <w:r w:rsidRPr="00FB3CAC">
        <w:rPr>
          <w:rFonts w:ascii="Times New Roman" w:hAnsi="Times New Roman"/>
          <w:sz w:val="24"/>
          <w:szCs w:val="24"/>
        </w:rPr>
        <w:t>išnaudoti ir mokymosi tikslais (pvz.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B3CAC">
        <w:rPr>
          <w:rFonts w:ascii="Times New Roman" w:hAnsi="Times New Roman"/>
          <w:sz w:val="24"/>
          <w:szCs w:val="24"/>
        </w:rPr>
        <w:t>pateikti stojimo į aukštąją mokyklą dokumentus, mokomosios literatūros paieškai, konsultacijoms,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AC">
        <w:rPr>
          <w:rFonts w:ascii="Times New Roman" w:hAnsi="Times New Roman"/>
          <w:sz w:val="24"/>
          <w:szCs w:val="24"/>
        </w:rPr>
        <w:t>mokymo įstaigos nustatytiems atsi</w:t>
      </w:r>
      <w:r>
        <w:rPr>
          <w:rFonts w:ascii="Times New Roman" w:hAnsi="Times New Roman"/>
          <w:sz w:val="24"/>
          <w:szCs w:val="24"/>
        </w:rPr>
        <w:t>skaitymams,</w:t>
      </w:r>
      <w:r w:rsidRPr="00FB3CAC">
        <w:rPr>
          <w:rFonts w:ascii="Times New Roman" w:hAnsi="Times New Roman"/>
          <w:sz w:val="24"/>
          <w:szCs w:val="24"/>
        </w:rPr>
        <w:t xml:space="preserve"> egzaminams, įskaitoms </w:t>
      </w:r>
      <w:r>
        <w:rPr>
          <w:rFonts w:ascii="Times New Roman" w:hAnsi="Times New Roman"/>
          <w:sz w:val="24"/>
          <w:szCs w:val="24"/>
        </w:rPr>
        <w:t>ir kt. išlaikyti).</w:t>
      </w:r>
    </w:p>
    <w:p w:rsidR="00F7198B" w:rsidRPr="006A1900" w:rsidRDefault="00207F32" w:rsidP="00F719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Trečiuoju klausimu buvo priimtas sprendimas</w:t>
      </w:r>
      <w:r w:rsidR="00F7198B" w:rsidRPr="00F7198B">
        <w:rPr>
          <w:rFonts w:ascii="Times New Roman" w:hAnsi="Times New Roman"/>
          <w:sz w:val="24"/>
          <w:szCs w:val="24"/>
        </w:rPr>
        <w:t xml:space="preserve"> </w:t>
      </w:r>
      <w:r w:rsidR="00F7198B">
        <w:rPr>
          <w:rFonts w:ascii="Times New Roman" w:hAnsi="Times New Roman"/>
          <w:sz w:val="24"/>
          <w:szCs w:val="24"/>
        </w:rPr>
        <w:t>a</w:t>
      </w:r>
      <w:r w:rsidR="00F7198B" w:rsidRPr="00930507">
        <w:rPr>
          <w:rFonts w:ascii="Times New Roman" w:hAnsi="Times New Roman"/>
          <w:sz w:val="24"/>
          <w:szCs w:val="24"/>
        </w:rPr>
        <w:t xml:space="preserve">tmesti </w:t>
      </w:r>
      <w:r w:rsidR="00F7198B"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 w:rsidR="00F7198B">
        <w:rPr>
          <w:rFonts w:ascii="Times New Roman" w:hAnsi="Times New Roman"/>
          <w:sz w:val="24"/>
          <w:szCs w:val="24"/>
        </w:rPr>
        <w:t>Vilkausko</w:t>
      </w:r>
      <w:proofErr w:type="spellEnd"/>
      <w:r w:rsidR="00F7198B" w:rsidRPr="00930507">
        <w:rPr>
          <w:rFonts w:ascii="Times New Roman" w:hAnsi="Times New Roman"/>
          <w:sz w:val="24"/>
          <w:szCs w:val="24"/>
        </w:rPr>
        <w:t xml:space="preserve"> </w:t>
      </w:r>
      <w:r w:rsidR="00F7198B">
        <w:rPr>
          <w:rFonts w:ascii="Times New Roman" w:hAnsi="Times New Roman"/>
          <w:sz w:val="24"/>
          <w:szCs w:val="24"/>
        </w:rPr>
        <w:t>peticijoje</w:t>
      </w:r>
      <w:r w:rsidR="00F7198B" w:rsidRPr="00DE033F">
        <w:rPr>
          <w:rFonts w:ascii="Times New Roman" w:hAnsi="Times New Roman"/>
          <w:bCs/>
          <w:sz w:val="24"/>
          <w:szCs w:val="24"/>
        </w:rPr>
        <w:t xml:space="preserve"> </w:t>
      </w:r>
      <w:r w:rsidR="00F7198B" w:rsidRPr="00615625">
        <w:rPr>
          <w:rFonts w:ascii="Times New Roman" w:hAnsi="Times New Roman"/>
          <w:sz w:val="24"/>
          <w:szCs w:val="24"/>
        </w:rPr>
        <w:t xml:space="preserve">„Dėl Lietuvos Respublikos </w:t>
      </w:r>
      <w:r w:rsidR="00F7198B">
        <w:rPr>
          <w:rFonts w:ascii="Times New Roman" w:hAnsi="Times New Roman"/>
          <w:sz w:val="24"/>
          <w:szCs w:val="24"/>
        </w:rPr>
        <w:t>švietimo įstatymo 33 straipsnio</w:t>
      </w:r>
      <w:r w:rsidR="00F7198B" w:rsidRPr="00615625">
        <w:rPr>
          <w:rFonts w:ascii="Times New Roman" w:hAnsi="Times New Roman"/>
          <w:sz w:val="24"/>
          <w:szCs w:val="24"/>
        </w:rPr>
        <w:t xml:space="preserve"> pakeitimo“</w:t>
      </w:r>
      <w:r w:rsidR="00F7198B">
        <w:rPr>
          <w:rFonts w:ascii="Times New Roman" w:hAnsi="Times New Roman"/>
          <w:sz w:val="24"/>
          <w:szCs w:val="24"/>
        </w:rPr>
        <w:t xml:space="preserve"> pateiktą pasiūlymą </w:t>
      </w:r>
      <w:r w:rsidR="00F7198B" w:rsidRPr="006A1900">
        <w:rPr>
          <w:rFonts w:ascii="Times New Roman" w:hAnsi="Times New Roman"/>
          <w:sz w:val="24"/>
          <w:szCs w:val="24"/>
        </w:rPr>
        <w:t xml:space="preserve">Lietuvos </w:t>
      </w:r>
      <w:r w:rsidR="00F7198B">
        <w:rPr>
          <w:rFonts w:ascii="Times New Roman" w:hAnsi="Times New Roman"/>
          <w:sz w:val="24"/>
          <w:szCs w:val="24"/>
        </w:rPr>
        <w:t>R</w:t>
      </w:r>
      <w:r w:rsidR="00F7198B" w:rsidRPr="006A1900">
        <w:rPr>
          <w:rFonts w:ascii="Times New Roman" w:hAnsi="Times New Roman"/>
          <w:sz w:val="24"/>
          <w:szCs w:val="24"/>
        </w:rPr>
        <w:t>espubliko</w:t>
      </w:r>
      <w:r w:rsidR="00F7198B">
        <w:rPr>
          <w:rFonts w:ascii="Times New Roman" w:hAnsi="Times New Roman"/>
          <w:sz w:val="24"/>
          <w:szCs w:val="24"/>
        </w:rPr>
        <w:t xml:space="preserve">s švietimo įstatymo </w:t>
      </w:r>
      <w:r w:rsidR="000D6089">
        <w:rPr>
          <w:rFonts w:ascii="Times New Roman" w:hAnsi="Times New Roman"/>
          <w:sz w:val="24"/>
          <w:szCs w:val="24"/>
        </w:rPr>
        <w:t xml:space="preserve">(toliau – Įstatymas) </w:t>
      </w:r>
      <w:r w:rsidR="00F7198B">
        <w:rPr>
          <w:rFonts w:ascii="Times New Roman" w:hAnsi="Times New Roman"/>
          <w:sz w:val="24"/>
          <w:szCs w:val="24"/>
        </w:rPr>
        <w:t>33 straipsnio 1 dalį</w:t>
      </w:r>
      <w:r w:rsidR="00F7198B" w:rsidRPr="006A1900">
        <w:rPr>
          <w:rFonts w:ascii="Times New Roman" w:hAnsi="Times New Roman"/>
          <w:sz w:val="24"/>
          <w:szCs w:val="24"/>
        </w:rPr>
        <w:t xml:space="preserve"> papildyti žodžiais „</w:t>
      </w:r>
      <w:r w:rsidR="00F7198B" w:rsidRPr="006A1900">
        <w:rPr>
          <w:rFonts w:ascii="Times New Roman" w:hAnsi="Times New Roman"/>
          <w:bCs/>
          <w:sz w:val="24"/>
          <w:szCs w:val="24"/>
        </w:rPr>
        <w:t>ir asmenims atliekantiems bausmę“ bei šį straipsnį išdėstyti taip:</w:t>
      </w:r>
      <w:r w:rsidR="00F7198B">
        <w:rPr>
          <w:rFonts w:ascii="Times New Roman" w:hAnsi="Times New Roman"/>
          <w:bCs/>
          <w:sz w:val="24"/>
          <w:szCs w:val="24"/>
        </w:rPr>
        <w:t xml:space="preserve"> „</w:t>
      </w:r>
      <w:r w:rsidR="00F7198B" w:rsidRPr="006A1900">
        <w:rPr>
          <w:rFonts w:ascii="Times New Roman" w:hAnsi="Times New Roman"/>
          <w:sz w:val="24"/>
          <w:szCs w:val="24"/>
        </w:rPr>
        <w:t>Socialinę atskirtį patiriantiems skurdžiai gyvenančių šeimų, pabėgėlių, nesimokantiems mokykloje</w:t>
      </w:r>
      <w:r w:rsidR="00F7198B">
        <w:rPr>
          <w:rFonts w:ascii="Times New Roman" w:hAnsi="Times New Roman"/>
          <w:sz w:val="24"/>
          <w:szCs w:val="24"/>
        </w:rPr>
        <w:t xml:space="preserve"> </w:t>
      </w:r>
      <w:r w:rsidR="00F7198B" w:rsidRPr="006A1900">
        <w:rPr>
          <w:rFonts w:ascii="Times New Roman" w:hAnsi="Times New Roman"/>
          <w:sz w:val="24"/>
          <w:szCs w:val="24"/>
        </w:rPr>
        <w:t xml:space="preserve">vaikams, bedarbiams, asmenims, grįžusiems iš įkalinimo ištaigų </w:t>
      </w:r>
      <w:r w:rsidR="00F7198B" w:rsidRPr="00A3676A">
        <w:rPr>
          <w:rFonts w:ascii="Times New Roman" w:hAnsi="Times New Roman"/>
          <w:bCs/>
          <w:sz w:val="24"/>
          <w:szCs w:val="24"/>
        </w:rPr>
        <w:t>ir asmenims atliekantiems bausmę įkalinimo įstaigose,</w:t>
      </w:r>
      <w:r w:rsidR="00F7198B" w:rsidRPr="006A190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7198B" w:rsidRPr="006A1900">
        <w:rPr>
          <w:rFonts w:ascii="Times New Roman" w:hAnsi="Times New Roman"/>
          <w:sz w:val="24"/>
          <w:szCs w:val="24"/>
        </w:rPr>
        <w:t>taip pat asmenims, kurie gydosi nuo alkoholizmo ir narkomanijos, ir prie visuomenės nepritampantiems asmenims švietimo prieinamumas užtikrinamas teikiant jiems socialines</w:t>
      </w:r>
      <w:r w:rsidR="00F7198B">
        <w:rPr>
          <w:rFonts w:ascii="Times New Roman" w:hAnsi="Times New Roman"/>
          <w:sz w:val="24"/>
          <w:szCs w:val="24"/>
        </w:rPr>
        <w:t xml:space="preserve"> paslaugas ir švietimo pagalbą.“</w:t>
      </w:r>
    </w:p>
    <w:p w:rsidR="00F7198B" w:rsidRPr="00B7381D" w:rsidRDefault="00F7198B" w:rsidP="00F719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7381D">
        <w:rPr>
          <w:rFonts w:ascii="Times New Roman" w:hAnsi="Times New Roman"/>
          <w:sz w:val="24"/>
          <w:szCs w:val="24"/>
        </w:rPr>
        <w:lastRenderedPageBreak/>
        <w:t xml:space="preserve">Komisija priėmė sprendimą atmesti peticijoje pateiktą pasiūlymą, atsižvelgusi į </w:t>
      </w:r>
      <w:r>
        <w:rPr>
          <w:rFonts w:ascii="Times New Roman" w:hAnsi="Times New Roman"/>
          <w:sz w:val="24"/>
          <w:szCs w:val="24"/>
        </w:rPr>
        <w:t>Švietimo ir mokslo</w:t>
      </w:r>
      <w:r w:rsidRPr="00B7381D">
        <w:rPr>
          <w:rFonts w:ascii="Times New Roman" w:hAnsi="Times New Roman"/>
          <w:sz w:val="24"/>
          <w:szCs w:val="24"/>
        </w:rPr>
        <w:t xml:space="preserve"> ministerijos pateiktą nuomonę ir </w:t>
      </w:r>
      <w:r>
        <w:rPr>
          <w:rFonts w:ascii="Times New Roman" w:hAnsi="Times New Roman"/>
          <w:sz w:val="24"/>
          <w:szCs w:val="24"/>
        </w:rPr>
        <w:t>todėl, kad š</w:t>
      </w:r>
      <w:r w:rsidRPr="00B7381D">
        <w:rPr>
          <w:rFonts w:ascii="Times New Roman" w:hAnsi="Times New Roman"/>
          <w:sz w:val="24"/>
          <w:szCs w:val="24"/>
        </w:rPr>
        <w:t xml:space="preserve">vietimo prieinamumą riboto </w:t>
      </w:r>
      <w:proofErr w:type="spellStart"/>
      <w:r w:rsidRPr="00B7381D">
        <w:rPr>
          <w:rFonts w:ascii="Times New Roman" w:hAnsi="Times New Roman"/>
          <w:sz w:val="24"/>
          <w:szCs w:val="24"/>
        </w:rPr>
        <w:t>judumo</w:t>
      </w:r>
      <w:proofErr w:type="spellEnd"/>
      <w:r>
        <w:rPr>
          <w:rFonts w:ascii="Times New Roman" w:hAnsi="Times New Roman"/>
          <w:sz w:val="24"/>
          <w:szCs w:val="24"/>
        </w:rPr>
        <w:t xml:space="preserve"> asmenims reglamentuoja Į</w:t>
      </w:r>
      <w:r w:rsidRPr="00B7381D">
        <w:rPr>
          <w:rFonts w:ascii="Times New Roman" w:hAnsi="Times New Roman"/>
          <w:sz w:val="24"/>
          <w:szCs w:val="24"/>
        </w:rPr>
        <w:t>statymo 35 straipsnio 2 dalis, kuri skelbia, kad „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a</w:t>
      </w:r>
      <w:r w:rsidRPr="00B7381D">
        <w:rPr>
          <w:rFonts w:ascii="Times New Roman" w:eastAsia="Times New Roman" w:hAnsi="Times New Roman"/>
          <w:sz w:val="24"/>
          <w:szCs w:val="24"/>
          <w:lang w:eastAsia="lt-LT"/>
        </w:rPr>
        <w:t>smeniui, kuriam laikinai atimta ar apribota laisvė, Vyriausybės nustatyta tvarka sudaromos sąlygos mokytis jo perauklėjimo ar bausmės atlikimo vietoje, kad šis asmuo galėtų įgyti pradinį, pagrindinį ir vidurinį išsilavinimą, kvalif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ikaciją, savarankiškai lavintis</w:t>
      </w:r>
      <w:r w:rsidR="000D6089">
        <w:rPr>
          <w:rFonts w:ascii="Times New Roman" w:eastAsia="Times New Roman" w:hAnsi="Times New Roman"/>
          <w:sz w:val="24"/>
          <w:szCs w:val="24"/>
          <w:lang w:eastAsia="lt-LT"/>
        </w:rPr>
        <w:t>“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lt-LT"/>
        </w:rPr>
        <w:t>, todėl į Įstatymo 33 straipsnį įrašyti</w:t>
      </w:r>
      <w:r w:rsidRPr="00B7381D">
        <w:rPr>
          <w:rFonts w:ascii="Times New Roman" w:eastAsia="Times New Roman" w:hAnsi="Times New Roman"/>
          <w:sz w:val="24"/>
          <w:szCs w:val="24"/>
          <w:lang w:eastAsia="lt-LT"/>
        </w:rPr>
        <w:t xml:space="preserve"> pareiškėjo siūlomus žodžius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yra </w:t>
      </w:r>
      <w:r w:rsidRPr="00B7381D">
        <w:rPr>
          <w:rFonts w:ascii="Times New Roman" w:eastAsia="Times New Roman" w:hAnsi="Times New Roman"/>
          <w:sz w:val="24"/>
          <w:szCs w:val="24"/>
          <w:lang w:eastAsia="lt-LT"/>
        </w:rPr>
        <w:t>netikslinga.</w:t>
      </w:r>
    </w:p>
    <w:p w:rsidR="00207F32" w:rsidRDefault="00207F32" w:rsidP="00F719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36B02" w:rsidRPr="00141B22" w:rsidRDefault="00636B02" w:rsidP="00F719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F4258" w:rsidRDefault="005F4258" w:rsidP="005F4258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 xml:space="preserve">, tel. </w:t>
      </w:r>
      <w:r w:rsidRPr="00AF1C8B">
        <w:rPr>
          <w:rFonts w:ascii="Times New Roman" w:hAnsi="Times New Roman"/>
          <w:sz w:val="24"/>
          <w:szCs w:val="24"/>
        </w:rPr>
        <w:t>(8 5) 239 6819,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1C8B">
        <w:rPr>
          <w:rFonts w:ascii="Times New Roman" w:hAnsi="Times New Roman"/>
          <w:sz w:val="24"/>
          <w:szCs w:val="24"/>
        </w:rPr>
        <w:t xml:space="preserve">el. p. jasnia@lrs.lt </w:t>
      </w:r>
    </w:p>
    <w:p w:rsidR="00087E84" w:rsidRPr="00FA56FF" w:rsidRDefault="00087E84" w:rsidP="00F7198B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087E84" w:rsidRPr="00FA56FF" w:rsidSect="003B58D9">
      <w:headerReference w:type="default" r:id="rId7"/>
      <w:pgSz w:w="11906" w:h="16838"/>
      <w:pgMar w:top="1440" w:right="1440" w:bottom="1440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8D9" w:rsidRDefault="003B58D9" w:rsidP="003B58D9">
      <w:pPr>
        <w:spacing w:after="0" w:line="240" w:lineRule="auto"/>
      </w:pPr>
      <w:r>
        <w:separator/>
      </w:r>
    </w:p>
  </w:endnote>
  <w:endnote w:type="continuationSeparator" w:id="0">
    <w:p w:rsidR="003B58D9" w:rsidRDefault="003B58D9" w:rsidP="003B5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8D9" w:rsidRDefault="003B58D9" w:rsidP="003B58D9">
      <w:pPr>
        <w:spacing w:after="0" w:line="240" w:lineRule="auto"/>
      </w:pPr>
      <w:r>
        <w:separator/>
      </w:r>
    </w:p>
  </w:footnote>
  <w:footnote w:type="continuationSeparator" w:id="0">
    <w:p w:rsidR="003B58D9" w:rsidRDefault="003B58D9" w:rsidP="003B5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4936857"/>
      <w:docPartObj>
        <w:docPartGallery w:val="Page Numbers (Top of Page)"/>
        <w:docPartUnique/>
      </w:docPartObj>
    </w:sdtPr>
    <w:sdtEndPr/>
    <w:sdtContent>
      <w:p w:rsidR="003B58D9" w:rsidRDefault="003B58D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089">
          <w:rPr>
            <w:noProof/>
          </w:rPr>
          <w:t>6</w:t>
        </w:r>
        <w:r>
          <w:fldChar w:fldCharType="end"/>
        </w:r>
      </w:p>
    </w:sdtContent>
  </w:sdt>
  <w:p w:rsidR="003B58D9" w:rsidRDefault="003B58D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9C"/>
    <w:rsid w:val="00087E84"/>
    <w:rsid w:val="000D6089"/>
    <w:rsid w:val="00207F32"/>
    <w:rsid w:val="003B58D9"/>
    <w:rsid w:val="005F4258"/>
    <w:rsid w:val="00636B02"/>
    <w:rsid w:val="00AF3E9C"/>
    <w:rsid w:val="00B46A8A"/>
    <w:rsid w:val="00D32DB1"/>
    <w:rsid w:val="00E00243"/>
    <w:rsid w:val="00F7198B"/>
    <w:rsid w:val="00FA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B5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B58D9"/>
  </w:style>
  <w:style w:type="paragraph" w:styleId="Porat">
    <w:name w:val="footer"/>
    <w:basedOn w:val="prastasis"/>
    <w:link w:val="PoratDiagrama"/>
    <w:uiPriority w:val="99"/>
    <w:unhideWhenUsed/>
    <w:rsid w:val="003B5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B58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B5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B58D9"/>
  </w:style>
  <w:style w:type="paragraph" w:styleId="Porat">
    <w:name w:val="footer"/>
    <w:basedOn w:val="prastasis"/>
    <w:link w:val="PoratDiagrama"/>
    <w:uiPriority w:val="99"/>
    <w:unhideWhenUsed/>
    <w:rsid w:val="003B5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B5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9036</Words>
  <Characters>5152</Characters>
  <Application>Microsoft Office Word</Application>
  <DocSecurity>0</DocSecurity>
  <Lines>42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11</cp:revision>
  <dcterms:created xsi:type="dcterms:W3CDTF">2014-03-14T11:19:00Z</dcterms:created>
  <dcterms:modified xsi:type="dcterms:W3CDTF">2014-03-20T05:18:00Z</dcterms:modified>
</cp:coreProperties>
</file>