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3E6AA9"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8" o:title="juostele-01-01"/>
            </v:shape>
            <v:shape id="_x0000_s1030" type="#_x0000_t75" style="position:absolute;left:-20;width:11906;height:2340;mso-position-horizontal-relative:margin" o:regroupid="1">
              <v:imagedata r:id="rId9" o:title="juosta_66"/>
            </v:shape>
            <w10:wrap type="topAndBottom"/>
          </v:group>
        </w:pict>
      </w:r>
    </w:p>
    <w:p w:rsid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C87D68">
        <w:rPr>
          <w:bCs/>
          <w:szCs w:val="22"/>
          <w:lang w:eastAsia="en-US"/>
        </w:rPr>
        <w:t xml:space="preserve">vasario </w:t>
      </w:r>
      <w:r w:rsidR="00ED6799">
        <w:rPr>
          <w:bCs/>
          <w:szCs w:val="22"/>
          <w:lang w:eastAsia="en-US"/>
        </w:rPr>
        <w:t>24</w:t>
      </w:r>
      <w:r w:rsidR="00003442" w:rsidRPr="00003442">
        <w:rPr>
          <w:bCs/>
          <w:szCs w:val="22"/>
          <w:lang w:eastAsia="en-US"/>
        </w:rPr>
        <w:t xml:space="preserve"> 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AD7853" w:rsidRDefault="00AD7853" w:rsidP="00003442">
      <w:pPr>
        <w:spacing w:after="0" w:line="240" w:lineRule="auto"/>
        <w:rPr>
          <w:bCs/>
          <w:szCs w:val="22"/>
          <w:lang w:eastAsia="en-US"/>
        </w:rPr>
      </w:pPr>
    </w:p>
    <w:p w:rsidR="003E6AA9" w:rsidRPr="003E6AA9" w:rsidRDefault="003E6AA9" w:rsidP="003E6AA9">
      <w:pPr>
        <w:spacing w:after="0" w:line="240" w:lineRule="auto"/>
        <w:jc w:val="center"/>
        <w:rPr>
          <w:bCs/>
          <w:szCs w:val="22"/>
          <w:lang w:eastAsia="en-US"/>
        </w:rPr>
      </w:pPr>
      <w:r w:rsidRPr="003E6AA9">
        <w:rPr>
          <w:b/>
          <w:bCs/>
          <w:szCs w:val="22"/>
          <w:lang w:eastAsia="en-US"/>
        </w:rPr>
        <w:t>E</w:t>
      </w:r>
      <w:r>
        <w:rPr>
          <w:b/>
          <w:bCs/>
          <w:szCs w:val="22"/>
          <w:lang w:eastAsia="en-US"/>
        </w:rPr>
        <w:t>uropos reikalų komitetas</w:t>
      </w:r>
      <w:r w:rsidRPr="003E6AA9">
        <w:rPr>
          <w:b/>
          <w:bCs/>
          <w:szCs w:val="22"/>
          <w:lang w:eastAsia="en-US"/>
        </w:rPr>
        <w:t>: Lietuva padarė pažangą Ignalinos AE uždaryme</w:t>
      </w:r>
    </w:p>
    <w:p w:rsidR="003E6AA9" w:rsidRPr="003E6AA9" w:rsidRDefault="003E6AA9" w:rsidP="003E6AA9">
      <w:pPr>
        <w:spacing w:after="0" w:line="240" w:lineRule="auto"/>
        <w:rPr>
          <w:bCs/>
          <w:szCs w:val="22"/>
          <w:lang w:eastAsia="en-US"/>
        </w:rPr>
      </w:pPr>
      <w:r w:rsidRPr="003E6AA9">
        <w:rPr>
          <w:bCs/>
          <w:szCs w:val="22"/>
          <w:lang w:eastAsia="en-US"/>
        </w:rPr>
        <w:t> </w:t>
      </w:r>
    </w:p>
    <w:p w:rsidR="003E6AA9" w:rsidRPr="003E6AA9" w:rsidRDefault="003E6AA9" w:rsidP="003E6AA9">
      <w:pPr>
        <w:spacing w:after="0" w:line="240" w:lineRule="auto"/>
        <w:ind w:firstLine="567"/>
        <w:jc w:val="both"/>
        <w:rPr>
          <w:bCs/>
          <w:szCs w:val="22"/>
          <w:lang w:eastAsia="en-US"/>
        </w:rPr>
      </w:pPr>
      <w:r w:rsidRPr="003E6AA9">
        <w:rPr>
          <w:bCs/>
          <w:szCs w:val="22"/>
          <w:lang w:eastAsia="en-US"/>
        </w:rPr>
        <w:t>Lietuva padarė realią pažangą, uždarant Ignalinos atominę elektrinę (AE), užtikrinant proceso saugumą ir panaudo</w:t>
      </w:r>
      <w:r>
        <w:rPr>
          <w:bCs/>
          <w:szCs w:val="22"/>
          <w:lang w:eastAsia="en-US"/>
        </w:rPr>
        <w:t>to branduolinio kuro saugojimą.</w:t>
      </w:r>
      <w:r w:rsidRPr="003E6AA9">
        <w:rPr>
          <w:bCs/>
          <w:szCs w:val="22"/>
          <w:lang w:eastAsia="en-US"/>
        </w:rPr>
        <w:t xml:space="preserve"> Tai pažymėta vasario 21 d. Seimo Europos reikalų komiteto posėdyje, kuriame pristatyta Europos Parlamento Biudžeto kontrolės komiteto užsakymu parengta nepriklausoma studija „Atominių jėgainių uždarymas: kaštų ir rizikos valdymas“. </w:t>
      </w:r>
    </w:p>
    <w:p w:rsidR="003E6AA9" w:rsidRPr="003E6AA9" w:rsidRDefault="003E6AA9" w:rsidP="003E6AA9">
      <w:pPr>
        <w:spacing w:after="0" w:line="240" w:lineRule="auto"/>
        <w:ind w:firstLine="567"/>
        <w:jc w:val="both"/>
        <w:rPr>
          <w:bCs/>
          <w:szCs w:val="22"/>
          <w:lang w:eastAsia="en-US"/>
        </w:rPr>
      </w:pPr>
      <w:r w:rsidRPr="003E6AA9">
        <w:rPr>
          <w:bCs/>
          <w:szCs w:val="22"/>
          <w:lang w:eastAsia="en-US"/>
        </w:rPr>
        <w:t xml:space="preserve">Lietuvos progresą teigiamai įvertino Europos Komisijos ir Europos rekonstrukcijos ir plėtros banko (ERPB) atstovai Donorų asamblėjoje 2013 m. birželio 14 d., pripažindami, kad visi iškelti reikalavimai, susiję su mokėjimų projektui sustabdymu 2013 m. sausį, yra išpildyti, ir ERPB 2013 m. liepą atnaujino finansavimą šiam projektui. </w:t>
      </w:r>
    </w:p>
    <w:p w:rsidR="003E6AA9" w:rsidRPr="003E6AA9" w:rsidRDefault="003E6AA9" w:rsidP="003E6AA9">
      <w:pPr>
        <w:spacing w:after="0" w:line="240" w:lineRule="auto"/>
        <w:ind w:firstLine="567"/>
        <w:jc w:val="both"/>
        <w:rPr>
          <w:bCs/>
          <w:szCs w:val="22"/>
          <w:lang w:eastAsia="en-US"/>
        </w:rPr>
      </w:pPr>
      <w:r w:rsidRPr="003E6AA9">
        <w:rPr>
          <w:bCs/>
          <w:szCs w:val="22"/>
          <w:lang w:eastAsia="en-US"/>
        </w:rPr>
        <w:t xml:space="preserve">Seimo Pirmininko pavaduotojo, Europos reikalų komiteto pirmininko Gedimino Kirkilo tvirtinimu, „Europos reikalų komitetas ir toliau domėsis Ignalinos AE saugaus uždarymo darbais, vykdys nuoseklią parlamentinę proceso kontrolę. Tai išlieka didelis iššūkis Lietuvai, su kuriuo, tikiu, susitvarkysime“. </w:t>
      </w:r>
    </w:p>
    <w:p w:rsidR="003E6AA9" w:rsidRPr="003E6AA9" w:rsidRDefault="003E6AA9" w:rsidP="003E6AA9">
      <w:pPr>
        <w:spacing w:after="0" w:line="240" w:lineRule="auto"/>
        <w:ind w:firstLine="567"/>
        <w:jc w:val="both"/>
        <w:rPr>
          <w:bCs/>
          <w:szCs w:val="22"/>
          <w:lang w:eastAsia="en-US"/>
        </w:rPr>
      </w:pPr>
      <w:r w:rsidRPr="003E6AA9">
        <w:rPr>
          <w:bCs/>
          <w:szCs w:val="22"/>
          <w:lang w:eastAsia="en-US"/>
        </w:rPr>
        <w:t xml:space="preserve">Šiuo metu abu Ignalinos AE reaktoriai yra sustabdyti ir saugaus išlaikymo fazėje. Iš pirmojo reaktoriaus kuras yra visiškai iškrautas į panaudoto kuro išlaikymo baseinus. 2011 m. vasario 1 d. pradėtas panaudoto branduolinio kuro iškrovimas iš antrojo elektrinės energijos bloko reaktoriaus ir jo perkėlimas į išlaikymo baseinus. </w:t>
      </w:r>
    </w:p>
    <w:p w:rsidR="003E6AA9" w:rsidRPr="003E6AA9" w:rsidRDefault="003E6AA9" w:rsidP="003E6AA9">
      <w:pPr>
        <w:spacing w:after="0" w:line="240" w:lineRule="auto"/>
        <w:ind w:firstLine="567"/>
        <w:jc w:val="both"/>
        <w:rPr>
          <w:bCs/>
          <w:szCs w:val="22"/>
          <w:lang w:eastAsia="en-US"/>
        </w:rPr>
      </w:pPr>
      <w:r w:rsidRPr="003E6AA9">
        <w:rPr>
          <w:bCs/>
          <w:szCs w:val="22"/>
          <w:lang w:eastAsia="en-US"/>
        </w:rPr>
        <w:t xml:space="preserve">Iki 2017 metų planuojama pabaigti naujos laikinos panaudoto branduolinio kuro saugyklos statybą. 2014 m. vasario 1 d. atlikta 64% projekto darbų. Atitinkamai iki 2018 metų ketinama užbaigti kietųjų radioaktyviųjų atliekų tvarkymo ir saugojimo kompleksą. </w:t>
      </w:r>
    </w:p>
    <w:p w:rsidR="003E6AA9" w:rsidRPr="003E6AA9" w:rsidRDefault="003E6AA9" w:rsidP="003E6AA9">
      <w:pPr>
        <w:spacing w:after="0" w:line="240" w:lineRule="auto"/>
        <w:ind w:firstLine="567"/>
        <w:jc w:val="both"/>
        <w:rPr>
          <w:bCs/>
          <w:szCs w:val="22"/>
          <w:lang w:eastAsia="en-US"/>
        </w:rPr>
      </w:pPr>
      <w:r w:rsidRPr="003E6AA9">
        <w:rPr>
          <w:bCs/>
          <w:szCs w:val="22"/>
          <w:lang w:eastAsia="en-US"/>
        </w:rPr>
        <w:t>Siekiama efektyviai ir skaidriai įgyvendinti eksploatacijos nutraukimo projektus, eksploatacijos nutraukimo metu išlaikyti pagrindinį personalą, darbus atliekant savomis jėgomis bei maksimaliai panaudoti darbuotojų žinias ir įgūdžius, tuo pačiu suteikiant galimybę jiems įgyti naujos unikalios patirties.</w:t>
      </w:r>
    </w:p>
    <w:p w:rsidR="003E6AA9" w:rsidRPr="003E6AA9" w:rsidRDefault="003E6AA9" w:rsidP="003E6AA9">
      <w:pPr>
        <w:spacing w:after="0" w:line="240" w:lineRule="auto"/>
        <w:ind w:firstLine="567"/>
        <w:jc w:val="both"/>
        <w:rPr>
          <w:bCs/>
          <w:szCs w:val="22"/>
          <w:lang w:eastAsia="en-US"/>
        </w:rPr>
      </w:pPr>
      <w:r w:rsidRPr="003E6AA9">
        <w:rPr>
          <w:bCs/>
          <w:szCs w:val="22"/>
          <w:lang w:eastAsia="en-US"/>
        </w:rPr>
        <w:t>Tuo tarpu a</w:t>
      </w:r>
      <w:r>
        <w:rPr>
          <w:bCs/>
          <w:szCs w:val="22"/>
          <w:lang w:eastAsia="en-US"/>
        </w:rPr>
        <w:t>n</w:t>
      </w:r>
      <w:r w:rsidRPr="003E6AA9">
        <w:rPr>
          <w:bCs/>
          <w:szCs w:val="22"/>
          <w:lang w:eastAsia="en-US"/>
        </w:rPr>
        <w:t xml:space="preserve">kščiau minėtoje kaštų ir rizikos valdymo studijoje, kurioje lyginami Bulgarijos, Slovakijos ir Lietuvos atominių jėgainių eksploatavimo nutraukimo atvejai su eksploatavimo nutraukimo Prancūzijoje, Jungtinėje Karalystėje ir Vokietijoje praktika, trijų pokomunistinių valstybių patirtis vertinama kritiškai. </w:t>
      </w:r>
    </w:p>
    <w:p w:rsidR="003E6AA9" w:rsidRPr="003E6AA9" w:rsidRDefault="003E6AA9" w:rsidP="003E6AA9">
      <w:pPr>
        <w:spacing w:after="0" w:line="240" w:lineRule="auto"/>
        <w:ind w:firstLine="567"/>
        <w:jc w:val="both"/>
        <w:rPr>
          <w:bCs/>
          <w:szCs w:val="22"/>
          <w:lang w:eastAsia="en-US"/>
        </w:rPr>
      </w:pPr>
      <w:r w:rsidRPr="003E6AA9">
        <w:rPr>
          <w:bCs/>
          <w:szCs w:val="22"/>
          <w:lang w:eastAsia="en-US"/>
        </w:rPr>
        <w:t xml:space="preserve">Kita vertus, pati studija tiek Europos Komisijos, tiek Europos Parlamento, tiek ERPB yra įvertinta kaip netiksli, pasenusi ir neatitinkanti tikrovės. Europos Komisijos atstovai pabrėžė, kad neatsižvelgta į trijų valstybių kontekstą ir į tai, kad atominių jėgainių uždarymas buvo politinis sprendimas. ERPB akcentavo, kad studijoje daug faktinių klaidų, o vietomis studiją galima laikyti kaip „įžeidžiančią“ valstybes nares. </w:t>
      </w:r>
    </w:p>
    <w:p w:rsidR="003E6AA9" w:rsidRPr="003E6AA9" w:rsidRDefault="003E6AA9" w:rsidP="003E6AA9">
      <w:pPr>
        <w:spacing w:after="0" w:line="240" w:lineRule="auto"/>
        <w:rPr>
          <w:bCs/>
          <w:szCs w:val="22"/>
          <w:lang w:eastAsia="en-US"/>
        </w:rPr>
      </w:pPr>
      <w:r w:rsidRPr="003E6AA9">
        <w:rPr>
          <w:bCs/>
          <w:szCs w:val="22"/>
          <w:lang w:eastAsia="en-US"/>
        </w:rPr>
        <w:t> </w:t>
      </w:r>
    </w:p>
    <w:p w:rsidR="003E6AA9" w:rsidRPr="003E6AA9" w:rsidRDefault="003E6AA9" w:rsidP="003E6AA9">
      <w:pPr>
        <w:spacing w:after="0" w:line="240" w:lineRule="auto"/>
        <w:rPr>
          <w:bCs/>
          <w:szCs w:val="22"/>
          <w:lang w:eastAsia="en-US"/>
        </w:rPr>
      </w:pPr>
      <w:r w:rsidRPr="003E6AA9">
        <w:rPr>
          <w:bCs/>
          <w:i/>
          <w:szCs w:val="22"/>
          <w:lang w:eastAsia="en-US"/>
        </w:rPr>
        <w:t xml:space="preserve">Seimo Europos reikalų komiteto patarėja </w:t>
      </w:r>
    </w:p>
    <w:p w:rsidR="003E6AA9" w:rsidRPr="003E6AA9" w:rsidRDefault="003E6AA9" w:rsidP="003E6AA9">
      <w:pPr>
        <w:spacing w:after="0" w:line="240" w:lineRule="auto"/>
        <w:rPr>
          <w:bCs/>
          <w:szCs w:val="22"/>
          <w:lang w:eastAsia="en-US"/>
        </w:rPr>
      </w:pPr>
      <w:r w:rsidRPr="003E6AA9">
        <w:rPr>
          <w:bCs/>
          <w:i/>
          <w:szCs w:val="22"/>
          <w:lang w:eastAsia="en-US"/>
        </w:rPr>
        <w:t xml:space="preserve">Danutė Budreikaitė (tel. </w:t>
      </w:r>
      <w:r>
        <w:rPr>
          <w:bCs/>
          <w:i/>
          <w:szCs w:val="22"/>
          <w:lang w:val="it-IT" w:eastAsia="en-US"/>
        </w:rPr>
        <w:t>(8 5) 239 6727, el. p.</w:t>
      </w:r>
      <w:r w:rsidRPr="003E6AA9">
        <w:rPr>
          <w:bCs/>
          <w:i/>
          <w:szCs w:val="22"/>
          <w:lang w:val="it-IT" w:eastAsia="en-US"/>
        </w:rPr>
        <w:t xml:space="preserve"> </w:t>
      </w:r>
      <w:hyperlink r:id="rId10" w:history="1">
        <w:r w:rsidRPr="003E6AA9">
          <w:rPr>
            <w:rStyle w:val="Hipersaitas"/>
            <w:bCs/>
            <w:i/>
            <w:szCs w:val="22"/>
            <w:lang w:val="it-IT" w:eastAsia="en-US"/>
          </w:rPr>
          <w:t>Danute.Budreikaite@lrs.lt</w:t>
        </w:r>
      </w:hyperlink>
      <w:r>
        <w:rPr>
          <w:bCs/>
          <w:i/>
          <w:szCs w:val="22"/>
          <w:lang w:val="it-IT" w:eastAsia="en-US"/>
        </w:rPr>
        <w:t>)</w:t>
      </w:r>
      <w:bookmarkStart w:id="0" w:name="_GoBack"/>
      <w:bookmarkEnd w:id="0"/>
      <w:r w:rsidRPr="003E6AA9">
        <w:rPr>
          <w:bCs/>
          <w:i/>
          <w:szCs w:val="22"/>
          <w:lang w:val="it-IT" w:eastAsia="en-US"/>
        </w:rPr>
        <w:t xml:space="preserve"> </w:t>
      </w:r>
    </w:p>
    <w:p w:rsidR="003E6AA9" w:rsidRPr="003E6AA9" w:rsidRDefault="003E6AA9" w:rsidP="003E6AA9">
      <w:pPr>
        <w:spacing w:after="0" w:line="240" w:lineRule="auto"/>
        <w:rPr>
          <w:bCs/>
          <w:szCs w:val="22"/>
          <w:lang w:eastAsia="en-US"/>
        </w:rPr>
      </w:pPr>
      <w:r w:rsidRPr="003E6AA9">
        <w:rPr>
          <w:bCs/>
          <w:i/>
          <w:szCs w:val="22"/>
          <w:lang w:eastAsia="en-US"/>
        </w:rPr>
        <w:t> </w:t>
      </w:r>
    </w:p>
    <w:p w:rsidR="00AD7853" w:rsidRDefault="00AD7853" w:rsidP="00664453">
      <w:pPr>
        <w:pStyle w:val="Style2"/>
        <w:rPr>
          <w:i/>
        </w:rPr>
      </w:pPr>
      <w:r w:rsidRPr="008B7484">
        <w:rPr>
          <w:i/>
        </w:rPr>
        <w:t>Seimo Pirmininko pavadu</w:t>
      </w:r>
      <w:r>
        <w:rPr>
          <w:i/>
        </w:rPr>
        <w:t>otojo G.</w:t>
      </w:r>
      <w:r w:rsidR="00664453">
        <w:rPr>
          <w:i/>
        </w:rPr>
        <w:t xml:space="preserve"> </w:t>
      </w:r>
      <w:r>
        <w:rPr>
          <w:i/>
        </w:rPr>
        <w:t>Kirkilo patarėja</w:t>
      </w:r>
    </w:p>
    <w:p w:rsidR="00AD7853" w:rsidRDefault="00AD7853" w:rsidP="00664453">
      <w:pPr>
        <w:pStyle w:val="Style2"/>
        <w:rPr>
          <w:sz w:val="22"/>
          <w:szCs w:val="22"/>
        </w:rPr>
      </w:pPr>
      <w:r w:rsidRPr="008B7484">
        <w:rPr>
          <w:i/>
        </w:rPr>
        <w:t xml:space="preserve">Morta </w:t>
      </w:r>
      <w:proofErr w:type="spellStart"/>
      <w:r w:rsidRPr="008B7484">
        <w:rPr>
          <w:i/>
        </w:rPr>
        <w:t>Vidūnaitė</w:t>
      </w:r>
      <w:proofErr w:type="spellEnd"/>
      <w:r w:rsidRPr="008B7484">
        <w:rPr>
          <w:i/>
        </w:rPr>
        <w:t xml:space="preserve"> (tel. (</w:t>
      </w:r>
      <w:r>
        <w:rPr>
          <w:i/>
        </w:rPr>
        <w:t xml:space="preserve">8 5) 239 6278, </w:t>
      </w:r>
      <w:proofErr w:type="spellStart"/>
      <w:r>
        <w:rPr>
          <w:i/>
        </w:rPr>
        <w:t>mob</w:t>
      </w:r>
      <w:proofErr w:type="spellEnd"/>
      <w:r>
        <w:rPr>
          <w:i/>
        </w:rPr>
        <w:t xml:space="preserve">. 8 612 01121, </w:t>
      </w:r>
      <w:r w:rsidRPr="008B7484">
        <w:rPr>
          <w:i/>
        </w:rPr>
        <w:t xml:space="preserve"> </w:t>
      </w:r>
      <w:r>
        <w:rPr>
          <w:i/>
        </w:rPr>
        <w:t xml:space="preserve">el. p. </w:t>
      </w:r>
      <w:proofErr w:type="spellStart"/>
      <w:r>
        <w:rPr>
          <w:i/>
        </w:rPr>
        <w:t>Morta.Vidunaite@lrs.lt</w:t>
      </w:r>
      <w:proofErr w:type="spellEnd"/>
      <w:r>
        <w:rPr>
          <w:i/>
        </w:rPr>
        <w:t>)</w:t>
      </w:r>
    </w:p>
    <w:p w:rsidR="00AD7853" w:rsidRDefault="00AD7853" w:rsidP="00664453">
      <w:pPr>
        <w:pStyle w:val="Style2"/>
        <w:rPr>
          <w:lang w:eastAsia="en-US"/>
        </w:rPr>
      </w:pPr>
    </w:p>
    <w:p w:rsidR="00003442" w:rsidRPr="00003442" w:rsidRDefault="00003442" w:rsidP="00664453">
      <w:pPr>
        <w:spacing w:after="0" w:line="240" w:lineRule="auto"/>
        <w:rPr>
          <w:b/>
          <w:bCs/>
          <w:szCs w:val="22"/>
          <w:lang w:eastAsia="en-US"/>
        </w:rPr>
      </w:pPr>
    </w:p>
    <w:sectPr w:rsidR="00003442" w:rsidRPr="00003442" w:rsidSect="00C55314">
      <w:footerReference w:type="default" r:id="rId11"/>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25F" w:rsidRDefault="00EA625F" w:rsidP="00C55314">
      <w:pPr>
        <w:spacing w:after="0" w:line="240" w:lineRule="auto"/>
      </w:pPr>
      <w:r>
        <w:separator/>
      </w:r>
    </w:p>
  </w:endnote>
  <w:endnote w:type="continuationSeparator" w:id="0">
    <w:p w:rsidR="00EA625F" w:rsidRDefault="00EA625F"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E86AC9" w:rsidRPr="0062037B" w:rsidTr="0069381B">
      <w:trPr>
        <w:trHeight w:val="696"/>
      </w:trPr>
      <w:tc>
        <w:tcPr>
          <w:tcW w:w="10174" w:type="dxa"/>
          <w:hideMark/>
        </w:tcPr>
        <w:p w:rsidR="00E86AC9" w:rsidRDefault="00E86AC9"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E86AC9" w:rsidRPr="0062037B" w:rsidRDefault="00E86AC9"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E86AC9" w:rsidRPr="0062037B" w:rsidRDefault="00E86AC9" w:rsidP="0069381B">
          <w:pPr>
            <w:spacing w:after="0" w:line="240" w:lineRule="auto"/>
            <w:ind w:hanging="851"/>
            <w:jc w:val="center"/>
            <w:rPr>
              <w:sz w:val="18"/>
              <w:szCs w:val="18"/>
              <w:lang w:eastAsia="en-US"/>
            </w:rPr>
          </w:pPr>
        </w:p>
      </w:tc>
    </w:tr>
  </w:tbl>
  <w:p w:rsidR="00E86AC9" w:rsidRDefault="00E86AC9"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25F" w:rsidRDefault="00EA625F" w:rsidP="00C55314">
      <w:pPr>
        <w:spacing w:after="0" w:line="240" w:lineRule="auto"/>
      </w:pPr>
      <w:r>
        <w:separator/>
      </w:r>
    </w:p>
  </w:footnote>
  <w:footnote w:type="continuationSeparator" w:id="0">
    <w:p w:rsidR="00EA625F" w:rsidRDefault="00EA625F" w:rsidP="00C55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37889">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66B57"/>
    <w:rsid w:val="000D1118"/>
    <w:rsid w:val="000E6BD5"/>
    <w:rsid w:val="00174B58"/>
    <w:rsid w:val="00222AE1"/>
    <w:rsid w:val="00230B3F"/>
    <w:rsid w:val="002A5AA0"/>
    <w:rsid w:val="00340117"/>
    <w:rsid w:val="00340570"/>
    <w:rsid w:val="00341603"/>
    <w:rsid w:val="003444CC"/>
    <w:rsid w:val="00345802"/>
    <w:rsid w:val="003E6AA9"/>
    <w:rsid w:val="004720D8"/>
    <w:rsid w:val="00474DFD"/>
    <w:rsid w:val="004C148E"/>
    <w:rsid w:val="005E2F37"/>
    <w:rsid w:val="00664453"/>
    <w:rsid w:val="0069381B"/>
    <w:rsid w:val="006E264D"/>
    <w:rsid w:val="00734E17"/>
    <w:rsid w:val="00786407"/>
    <w:rsid w:val="007B3DDA"/>
    <w:rsid w:val="007D48A2"/>
    <w:rsid w:val="007D5669"/>
    <w:rsid w:val="007F434D"/>
    <w:rsid w:val="007F7E5E"/>
    <w:rsid w:val="00843A82"/>
    <w:rsid w:val="00973A93"/>
    <w:rsid w:val="009A4974"/>
    <w:rsid w:val="009C2C2E"/>
    <w:rsid w:val="00A17678"/>
    <w:rsid w:val="00A61B60"/>
    <w:rsid w:val="00A639D4"/>
    <w:rsid w:val="00A95E87"/>
    <w:rsid w:val="00AD7853"/>
    <w:rsid w:val="00AF7F86"/>
    <w:rsid w:val="00B21AA0"/>
    <w:rsid w:val="00B874C7"/>
    <w:rsid w:val="00C259E7"/>
    <w:rsid w:val="00C55314"/>
    <w:rsid w:val="00C74C66"/>
    <w:rsid w:val="00C87D68"/>
    <w:rsid w:val="00D35B2F"/>
    <w:rsid w:val="00E0505D"/>
    <w:rsid w:val="00E25BD6"/>
    <w:rsid w:val="00E33FD0"/>
    <w:rsid w:val="00E86AC9"/>
    <w:rsid w:val="00E9756D"/>
    <w:rsid w:val="00EA625F"/>
    <w:rsid w:val="00ED39D4"/>
    <w:rsid w:val="00ED6799"/>
    <w:rsid w:val="00F06B21"/>
    <w:rsid w:val="00F0767B"/>
    <w:rsid w:val="00F258E6"/>
    <w:rsid w:val="00F37847"/>
    <w:rsid w:val="00FB62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7889">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paragraph" w:customStyle="1" w:styleId="Style2">
    <w:name w:val="Style2"/>
    <w:basedOn w:val="prastasis"/>
    <w:rsid w:val="00AD7853"/>
    <w:pPr>
      <w:suppressAutoHyphens/>
      <w:spacing w:after="0" w:line="240" w:lineRule="auto"/>
      <w:jc w:val="both"/>
    </w:pPr>
    <w:rPr>
      <w:rFonts w:eastAsia="Times New Roman"/>
      <w:szCs w:val="24"/>
      <w:lang w:eastAsia="ar-SA"/>
    </w:rPr>
  </w:style>
  <w:style w:type="character" w:styleId="Hipersaitas">
    <w:name w:val="Hyperlink"/>
    <w:basedOn w:val="Numatytasispastraiposriftas"/>
    <w:uiPriority w:val="99"/>
    <w:unhideWhenUsed/>
    <w:rsid w:val="00E0505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49849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anute.Budreikaite@lrs.lt"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82F7C-03BE-4C0F-8AB7-420B1B0F9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1958</Words>
  <Characters>1117</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2</cp:revision>
  <cp:lastPrinted>2013-12-20T09:10:00Z</cp:lastPrinted>
  <dcterms:created xsi:type="dcterms:W3CDTF">2014-02-24T13:07:00Z</dcterms:created>
  <dcterms:modified xsi:type="dcterms:W3CDTF">2014-02-24T13:07:00Z</dcterms:modified>
</cp:coreProperties>
</file>